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12F" w:rsidRDefault="0033212F" w:rsidP="005076BB">
      <w:pPr>
        <w:spacing w:after="0" w:line="240" w:lineRule="auto"/>
        <w:jc w:val="center"/>
        <w:rPr>
          <w:rFonts w:ascii="Verdana" w:hAnsi="Verdana"/>
          <w:b/>
          <w:sz w:val="20"/>
          <w:szCs w:val="20"/>
          <w:lang w:val="es-HN"/>
        </w:rPr>
      </w:pPr>
    </w:p>
    <w:p w:rsidR="0033212F" w:rsidRDefault="0033212F" w:rsidP="005076BB">
      <w:pPr>
        <w:spacing w:after="0" w:line="240" w:lineRule="auto"/>
        <w:jc w:val="center"/>
        <w:rPr>
          <w:rFonts w:ascii="Verdana" w:hAnsi="Verdana"/>
          <w:b/>
          <w:sz w:val="20"/>
          <w:szCs w:val="20"/>
          <w:lang w:val="es-HN"/>
        </w:rPr>
      </w:pPr>
    </w:p>
    <w:p w:rsidR="0033212F" w:rsidRDefault="0033212F" w:rsidP="005076BB">
      <w:pPr>
        <w:spacing w:after="0" w:line="240" w:lineRule="auto"/>
        <w:jc w:val="center"/>
        <w:rPr>
          <w:rFonts w:ascii="Verdana" w:hAnsi="Verdana"/>
          <w:b/>
          <w:sz w:val="20"/>
          <w:szCs w:val="20"/>
          <w:lang w:val="es-HN"/>
        </w:rPr>
      </w:pPr>
    </w:p>
    <w:p w:rsidR="0033212F" w:rsidRDefault="0033212F" w:rsidP="005076BB">
      <w:pPr>
        <w:spacing w:after="0" w:line="240" w:lineRule="auto"/>
        <w:jc w:val="center"/>
        <w:rPr>
          <w:rFonts w:ascii="Verdana" w:hAnsi="Verdana"/>
          <w:b/>
          <w:sz w:val="20"/>
          <w:szCs w:val="20"/>
          <w:lang w:val="es-HN"/>
        </w:rPr>
      </w:pPr>
    </w:p>
    <w:p w:rsidR="0033212F" w:rsidRDefault="0033212F" w:rsidP="005076BB">
      <w:pPr>
        <w:spacing w:after="0" w:line="240" w:lineRule="auto"/>
        <w:jc w:val="center"/>
        <w:rPr>
          <w:rFonts w:ascii="Verdana" w:hAnsi="Verdana"/>
          <w:b/>
          <w:sz w:val="20"/>
          <w:szCs w:val="20"/>
          <w:lang w:val="es-HN"/>
        </w:rPr>
      </w:pPr>
    </w:p>
    <w:p w:rsidR="0033212F" w:rsidRDefault="0033212F" w:rsidP="005076BB">
      <w:pPr>
        <w:spacing w:after="0" w:line="240" w:lineRule="auto"/>
        <w:jc w:val="center"/>
        <w:rPr>
          <w:rFonts w:ascii="Verdana" w:hAnsi="Verdana"/>
          <w:b/>
          <w:sz w:val="20"/>
          <w:szCs w:val="20"/>
          <w:lang w:val="es-HN"/>
        </w:rPr>
      </w:pPr>
    </w:p>
    <w:p w:rsidR="0033212F" w:rsidRDefault="0033212F" w:rsidP="005076BB">
      <w:pPr>
        <w:spacing w:after="0" w:line="240" w:lineRule="auto"/>
        <w:jc w:val="center"/>
        <w:rPr>
          <w:rFonts w:ascii="Verdana" w:hAnsi="Verdana"/>
          <w:b/>
          <w:sz w:val="20"/>
          <w:szCs w:val="20"/>
          <w:lang w:val="es-HN"/>
        </w:rPr>
      </w:pPr>
    </w:p>
    <w:p w:rsidR="0033212F" w:rsidRDefault="0033212F" w:rsidP="005076BB">
      <w:pPr>
        <w:spacing w:after="0" w:line="240" w:lineRule="auto"/>
        <w:jc w:val="center"/>
        <w:rPr>
          <w:rFonts w:ascii="Verdana" w:hAnsi="Verdana"/>
          <w:b/>
          <w:sz w:val="20"/>
          <w:szCs w:val="20"/>
          <w:lang w:val="es-HN"/>
        </w:rPr>
      </w:pPr>
    </w:p>
    <w:p w:rsidR="0033212F" w:rsidRDefault="0033212F" w:rsidP="005076BB">
      <w:pPr>
        <w:spacing w:after="0" w:line="240" w:lineRule="auto"/>
        <w:jc w:val="center"/>
        <w:rPr>
          <w:rFonts w:ascii="Verdana" w:hAnsi="Verdana"/>
          <w:b/>
          <w:sz w:val="20"/>
          <w:szCs w:val="20"/>
          <w:lang w:val="es-HN"/>
        </w:rPr>
      </w:pPr>
    </w:p>
    <w:p w:rsidR="0033212F" w:rsidRDefault="0033212F" w:rsidP="005076BB">
      <w:pPr>
        <w:spacing w:after="0" w:line="240" w:lineRule="auto"/>
        <w:jc w:val="center"/>
        <w:rPr>
          <w:rFonts w:ascii="Verdana" w:hAnsi="Verdana"/>
          <w:b/>
          <w:sz w:val="20"/>
          <w:szCs w:val="20"/>
          <w:lang w:val="es-HN"/>
        </w:rPr>
      </w:pPr>
    </w:p>
    <w:p w:rsidR="005F7D78" w:rsidRPr="00D31755" w:rsidRDefault="005F7D78" w:rsidP="005076BB">
      <w:pPr>
        <w:spacing w:after="0" w:line="240" w:lineRule="auto"/>
        <w:jc w:val="center"/>
        <w:rPr>
          <w:rFonts w:ascii="Verdana" w:hAnsi="Verdana"/>
          <w:b/>
          <w:sz w:val="20"/>
          <w:szCs w:val="20"/>
          <w:lang w:val="es-HN"/>
        </w:rPr>
      </w:pPr>
      <w:r w:rsidRPr="00D31755">
        <w:rPr>
          <w:rFonts w:ascii="Verdana" w:hAnsi="Verdana"/>
          <w:b/>
          <w:sz w:val="20"/>
          <w:szCs w:val="20"/>
          <w:lang w:val="es-HN"/>
        </w:rPr>
        <w:t>RESOLUCIÓN DE LA</w:t>
      </w:r>
    </w:p>
    <w:p w:rsidR="005F7D78" w:rsidRPr="00D31755" w:rsidRDefault="005F7D78" w:rsidP="005076BB">
      <w:pPr>
        <w:spacing w:after="0" w:line="240" w:lineRule="auto"/>
        <w:jc w:val="center"/>
        <w:rPr>
          <w:rFonts w:ascii="Verdana" w:hAnsi="Verdana"/>
          <w:b/>
          <w:sz w:val="20"/>
          <w:szCs w:val="20"/>
          <w:lang w:val="es-HN"/>
        </w:rPr>
      </w:pPr>
      <w:r w:rsidRPr="00D31755">
        <w:rPr>
          <w:rFonts w:ascii="Verdana" w:hAnsi="Verdana"/>
          <w:b/>
          <w:sz w:val="20"/>
          <w:szCs w:val="20"/>
          <w:lang w:val="es-HN"/>
        </w:rPr>
        <w:t>CORTE INTERAMERICANA DE DERECHOS HUMANOS</w:t>
      </w:r>
      <w:r w:rsidR="008A6CB7">
        <w:rPr>
          <w:rStyle w:val="FootnoteReference"/>
          <w:rFonts w:ascii="Verdana" w:hAnsi="Verdana"/>
          <w:b/>
          <w:sz w:val="20"/>
          <w:szCs w:val="20"/>
          <w:lang w:val="es-HN"/>
        </w:rPr>
        <w:footnoteReference w:customMarkFollows="1" w:id="1"/>
        <w:t>*</w:t>
      </w:r>
    </w:p>
    <w:p w:rsidR="005F7D78" w:rsidRDefault="005F7D78" w:rsidP="005076BB">
      <w:pPr>
        <w:spacing w:after="0" w:line="240" w:lineRule="auto"/>
        <w:jc w:val="center"/>
        <w:rPr>
          <w:rFonts w:ascii="Verdana" w:hAnsi="Verdana"/>
          <w:b/>
          <w:sz w:val="20"/>
          <w:szCs w:val="20"/>
          <w:lang w:val="es-HN"/>
        </w:rPr>
      </w:pPr>
      <w:r w:rsidRPr="00D31755">
        <w:rPr>
          <w:rFonts w:ascii="Verdana" w:hAnsi="Verdana"/>
          <w:b/>
          <w:sz w:val="20"/>
          <w:szCs w:val="20"/>
          <w:lang w:val="es-HN"/>
        </w:rPr>
        <w:t xml:space="preserve">DE </w:t>
      </w:r>
      <w:r w:rsidR="00C24081">
        <w:rPr>
          <w:rFonts w:ascii="Verdana" w:hAnsi="Verdana"/>
          <w:b/>
          <w:sz w:val="20"/>
          <w:szCs w:val="20"/>
          <w:lang w:val="es-HN"/>
        </w:rPr>
        <w:t>14</w:t>
      </w:r>
      <w:r w:rsidRPr="00D31755">
        <w:rPr>
          <w:rFonts w:ascii="Verdana" w:hAnsi="Verdana"/>
          <w:b/>
          <w:sz w:val="20"/>
          <w:szCs w:val="20"/>
          <w:lang w:val="es-HN"/>
        </w:rPr>
        <w:t xml:space="preserve"> DE </w:t>
      </w:r>
      <w:r>
        <w:rPr>
          <w:rFonts w:ascii="Verdana" w:hAnsi="Verdana"/>
          <w:b/>
          <w:sz w:val="20"/>
          <w:szCs w:val="20"/>
          <w:lang w:val="es-HN"/>
        </w:rPr>
        <w:t>MAYO</w:t>
      </w:r>
      <w:r w:rsidRPr="00D31755">
        <w:rPr>
          <w:rFonts w:ascii="Verdana" w:hAnsi="Verdana"/>
          <w:b/>
          <w:sz w:val="20"/>
          <w:szCs w:val="20"/>
          <w:lang w:val="es-HN"/>
        </w:rPr>
        <w:t xml:space="preserve"> DE 2013</w:t>
      </w:r>
    </w:p>
    <w:p w:rsidR="00007534" w:rsidRPr="00D31755" w:rsidRDefault="00007534" w:rsidP="005076BB">
      <w:pPr>
        <w:spacing w:after="0" w:line="240" w:lineRule="auto"/>
        <w:jc w:val="center"/>
        <w:rPr>
          <w:rFonts w:ascii="Verdana" w:hAnsi="Verdana"/>
          <w:b/>
          <w:sz w:val="20"/>
          <w:szCs w:val="20"/>
          <w:lang w:val="es-HN"/>
        </w:rPr>
      </w:pPr>
      <w:r>
        <w:rPr>
          <w:rFonts w:ascii="Verdana" w:hAnsi="Verdana"/>
          <w:b/>
          <w:sz w:val="20"/>
          <w:szCs w:val="20"/>
          <w:lang w:val="es-HN"/>
        </w:rPr>
        <w:t xml:space="preserve">CASO MENDOZA Y OTROS </w:t>
      </w:r>
      <w:r w:rsidR="00511440" w:rsidRPr="00511440">
        <w:rPr>
          <w:rFonts w:ascii="Verdana" w:hAnsi="Verdana"/>
          <w:b/>
          <w:i/>
          <w:sz w:val="20"/>
          <w:szCs w:val="20"/>
          <w:lang w:val="es-HN"/>
        </w:rPr>
        <w:t>VS</w:t>
      </w:r>
      <w:r>
        <w:rPr>
          <w:rFonts w:ascii="Verdana" w:hAnsi="Verdana"/>
          <w:b/>
          <w:sz w:val="20"/>
          <w:szCs w:val="20"/>
          <w:lang w:val="es-HN"/>
        </w:rPr>
        <w:t>. ARGENTINA</w:t>
      </w:r>
    </w:p>
    <w:p w:rsidR="00A26093" w:rsidRDefault="00A26093" w:rsidP="005076BB">
      <w:pPr>
        <w:spacing w:after="0" w:line="240" w:lineRule="auto"/>
        <w:contextualSpacing/>
        <w:jc w:val="both"/>
        <w:rPr>
          <w:rFonts w:ascii="Verdana" w:hAnsi="Verdana" w:cs="Estrangelo Edessa"/>
          <w:b/>
          <w:color w:val="000000" w:themeColor="text1"/>
          <w:sz w:val="20"/>
          <w:szCs w:val="20"/>
          <w:lang w:val="es-ES"/>
        </w:rPr>
      </w:pPr>
    </w:p>
    <w:p w:rsidR="005F7D78" w:rsidRPr="00582C7C" w:rsidRDefault="005F7D78" w:rsidP="005076BB">
      <w:pPr>
        <w:spacing w:after="0" w:line="240" w:lineRule="auto"/>
        <w:contextualSpacing/>
        <w:jc w:val="both"/>
        <w:rPr>
          <w:rFonts w:ascii="Verdana" w:hAnsi="Verdana" w:cs="Estrangelo Edessa"/>
          <w:b/>
          <w:color w:val="000000" w:themeColor="text1"/>
          <w:sz w:val="20"/>
          <w:szCs w:val="20"/>
          <w:lang w:val="es-ES"/>
        </w:rPr>
      </w:pPr>
      <w:r w:rsidRPr="00582C7C">
        <w:rPr>
          <w:rFonts w:ascii="Verdana" w:hAnsi="Verdana" w:cs="Estrangelo Edessa"/>
          <w:b/>
          <w:color w:val="000000" w:themeColor="text1"/>
          <w:sz w:val="20"/>
          <w:szCs w:val="20"/>
          <w:lang w:val="es-ES"/>
        </w:rPr>
        <w:t>VISTO:</w:t>
      </w:r>
    </w:p>
    <w:p w:rsidR="005076BB" w:rsidRDefault="005076BB" w:rsidP="005076BB">
      <w:pPr>
        <w:pStyle w:val="ListParagraph"/>
        <w:autoSpaceDE w:val="0"/>
        <w:autoSpaceDN w:val="0"/>
        <w:spacing w:after="0" w:line="240" w:lineRule="auto"/>
        <w:ind w:left="0" w:right="4"/>
        <w:contextualSpacing w:val="0"/>
        <w:jc w:val="both"/>
        <w:rPr>
          <w:rFonts w:ascii="Verdana" w:eastAsia="Calibri" w:hAnsi="Verdana" w:cs="Verdana"/>
          <w:sz w:val="20"/>
          <w:szCs w:val="20"/>
          <w:lang w:val="es-ES"/>
        </w:rPr>
      </w:pPr>
    </w:p>
    <w:p w:rsidR="00007534" w:rsidRPr="00582C7C" w:rsidRDefault="00007534" w:rsidP="005076BB">
      <w:pPr>
        <w:pStyle w:val="ListParagraph"/>
        <w:numPr>
          <w:ilvl w:val="0"/>
          <w:numId w:val="2"/>
        </w:numPr>
        <w:autoSpaceDE w:val="0"/>
        <w:autoSpaceDN w:val="0"/>
        <w:spacing w:after="0" w:line="240" w:lineRule="auto"/>
        <w:ind w:right="4"/>
        <w:contextualSpacing w:val="0"/>
        <w:jc w:val="both"/>
        <w:rPr>
          <w:rFonts w:ascii="Verdana" w:eastAsia="Calibri" w:hAnsi="Verdana" w:cs="Verdana"/>
          <w:sz w:val="20"/>
          <w:szCs w:val="20"/>
          <w:lang w:val="es-ES"/>
        </w:rPr>
      </w:pPr>
      <w:r w:rsidRPr="00582C7C">
        <w:rPr>
          <w:rFonts w:ascii="Verdana" w:eastAsia="Calibri" w:hAnsi="Verdana" w:cs="Verdana"/>
          <w:sz w:val="20"/>
          <w:szCs w:val="20"/>
          <w:lang w:val="es-ES"/>
        </w:rPr>
        <w:t>El escrito de 23 de noviembre de 2012, mediante el cual la representante de las</w:t>
      </w:r>
      <w:r w:rsidR="00464B15">
        <w:rPr>
          <w:rFonts w:ascii="Verdana" w:eastAsia="Calibri" w:hAnsi="Verdana" w:cs="Verdana"/>
          <w:sz w:val="20"/>
          <w:szCs w:val="20"/>
          <w:lang w:val="es-ES"/>
        </w:rPr>
        <w:t xml:space="preserve"> presuntas</w:t>
      </w:r>
      <w:r w:rsidR="008A6CB7">
        <w:rPr>
          <w:rFonts w:ascii="Verdana" w:eastAsia="Calibri" w:hAnsi="Verdana" w:cs="Verdana"/>
          <w:sz w:val="20"/>
          <w:szCs w:val="20"/>
          <w:lang w:val="es-ES"/>
        </w:rPr>
        <w:t xml:space="preserve"> </w:t>
      </w:r>
      <w:r w:rsidRPr="00582C7C">
        <w:rPr>
          <w:rFonts w:ascii="Verdana" w:eastAsia="Calibri" w:hAnsi="Verdana" w:cs="Verdana"/>
          <w:sz w:val="20"/>
          <w:szCs w:val="20"/>
          <w:lang w:val="es-ES"/>
        </w:rPr>
        <w:t>víctimas</w:t>
      </w:r>
      <w:r w:rsidR="0020621A">
        <w:rPr>
          <w:rFonts w:ascii="Verdana" w:eastAsia="Calibri" w:hAnsi="Verdana" w:cs="Verdana"/>
          <w:sz w:val="20"/>
          <w:szCs w:val="20"/>
          <w:lang w:val="es-ES"/>
        </w:rPr>
        <w:t xml:space="preserve"> (en adelante, “la representante”)</w:t>
      </w:r>
      <w:r w:rsidRPr="00582C7C">
        <w:rPr>
          <w:rFonts w:ascii="Verdana" w:eastAsia="Calibri" w:hAnsi="Verdana" w:cs="Verdana"/>
          <w:sz w:val="20"/>
          <w:szCs w:val="20"/>
          <w:lang w:val="es-ES"/>
        </w:rPr>
        <w:t xml:space="preserve"> solicitó la reserva de la identidad de una de </w:t>
      </w:r>
      <w:r w:rsidR="00094E88" w:rsidRPr="00582C7C">
        <w:rPr>
          <w:rFonts w:ascii="Verdana" w:eastAsia="Calibri" w:hAnsi="Verdana" w:cs="Verdana"/>
          <w:sz w:val="20"/>
          <w:szCs w:val="20"/>
          <w:lang w:val="es-ES"/>
        </w:rPr>
        <w:t>éstas</w:t>
      </w:r>
      <w:r w:rsidRPr="00582C7C">
        <w:rPr>
          <w:rFonts w:ascii="Verdana" w:eastAsia="Calibri" w:hAnsi="Verdana" w:cs="Verdana"/>
          <w:sz w:val="20"/>
          <w:szCs w:val="20"/>
          <w:lang w:val="es-ES"/>
        </w:rPr>
        <w:t xml:space="preserve">. </w:t>
      </w:r>
    </w:p>
    <w:p w:rsidR="00007534" w:rsidRPr="00582C7C" w:rsidRDefault="00007534" w:rsidP="005076BB">
      <w:pPr>
        <w:pStyle w:val="ListParagraph"/>
        <w:autoSpaceDE w:val="0"/>
        <w:autoSpaceDN w:val="0"/>
        <w:spacing w:after="0" w:line="240" w:lineRule="auto"/>
        <w:ind w:left="0" w:right="4"/>
        <w:contextualSpacing w:val="0"/>
        <w:jc w:val="both"/>
        <w:rPr>
          <w:rFonts w:ascii="Verdana" w:eastAsia="Calibri" w:hAnsi="Verdana" w:cs="Verdana"/>
          <w:sz w:val="20"/>
          <w:szCs w:val="20"/>
          <w:lang w:val="es-ES"/>
        </w:rPr>
      </w:pPr>
    </w:p>
    <w:p w:rsidR="00007534" w:rsidRPr="00582C7C" w:rsidRDefault="00007534" w:rsidP="005076BB">
      <w:pPr>
        <w:pStyle w:val="ListParagraph"/>
        <w:numPr>
          <w:ilvl w:val="0"/>
          <w:numId w:val="2"/>
        </w:numPr>
        <w:autoSpaceDE w:val="0"/>
        <w:autoSpaceDN w:val="0"/>
        <w:spacing w:after="0" w:line="240" w:lineRule="auto"/>
        <w:ind w:right="4"/>
        <w:contextualSpacing w:val="0"/>
        <w:jc w:val="both"/>
        <w:rPr>
          <w:rFonts w:ascii="Verdana" w:eastAsia="Calibri" w:hAnsi="Verdana" w:cs="Verdana"/>
          <w:sz w:val="20"/>
          <w:szCs w:val="20"/>
          <w:lang w:val="es-ES"/>
        </w:rPr>
      </w:pPr>
      <w:r w:rsidRPr="005076BB">
        <w:rPr>
          <w:rFonts w:ascii="Verdana" w:eastAsia="Calibri" w:hAnsi="Verdana" w:cs="Verdana"/>
          <w:sz w:val="20"/>
          <w:szCs w:val="20"/>
          <w:lang w:val="es-ES"/>
        </w:rPr>
        <w:t>Los escritos de 13 y 21 de diciembre de 2012, mediante los cuales</w:t>
      </w:r>
      <w:r w:rsidRPr="00582C7C">
        <w:rPr>
          <w:rFonts w:ascii="Verdana" w:eastAsia="Calibri" w:hAnsi="Verdana" w:cs="Verdana"/>
          <w:sz w:val="20"/>
          <w:szCs w:val="20"/>
          <w:lang w:val="es-ES"/>
        </w:rPr>
        <w:t xml:space="preserve"> la Comisión Interamericana de Derechos Humanos </w:t>
      </w:r>
      <w:r w:rsidR="005076BB">
        <w:rPr>
          <w:rFonts w:ascii="Verdana" w:eastAsia="Calibri" w:hAnsi="Verdana" w:cs="Verdana"/>
          <w:sz w:val="20"/>
          <w:szCs w:val="20"/>
          <w:lang w:val="es-ES"/>
        </w:rPr>
        <w:t xml:space="preserve">(en adelante, “la Comisión Interamericana” o “la Comisión”) </w:t>
      </w:r>
      <w:r w:rsidRPr="00582C7C">
        <w:rPr>
          <w:rFonts w:ascii="Verdana" w:eastAsia="Calibri" w:hAnsi="Verdana" w:cs="Verdana"/>
          <w:sz w:val="20"/>
          <w:szCs w:val="20"/>
          <w:lang w:val="es-ES"/>
        </w:rPr>
        <w:t xml:space="preserve">y </w:t>
      </w:r>
      <w:r w:rsidR="005076BB">
        <w:rPr>
          <w:rFonts w:ascii="Verdana" w:eastAsia="Calibri" w:hAnsi="Verdana" w:cs="Verdana"/>
          <w:sz w:val="20"/>
          <w:szCs w:val="20"/>
          <w:lang w:val="es-ES"/>
        </w:rPr>
        <w:t>la República Argentina (en adelante, “el Estado” o “Argentina”)</w:t>
      </w:r>
      <w:r w:rsidRPr="00582C7C">
        <w:rPr>
          <w:rFonts w:ascii="Verdana" w:eastAsia="Calibri" w:hAnsi="Verdana" w:cs="Verdana"/>
          <w:sz w:val="20"/>
          <w:szCs w:val="20"/>
          <w:lang w:val="es-ES"/>
        </w:rPr>
        <w:t xml:space="preserve"> </w:t>
      </w:r>
      <w:r w:rsidR="00550280">
        <w:rPr>
          <w:rFonts w:ascii="Verdana" w:eastAsia="Calibri" w:hAnsi="Verdana" w:cs="Verdana"/>
          <w:sz w:val="20"/>
          <w:szCs w:val="20"/>
          <w:lang w:val="es-ES"/>
        </w:rPr>
        <w:t>presentaron,</w:t>
      </w:r>
      <w:r w:rsidR="00550280" w:rsidRPr="00582C7C">
        <w:rPr>
          <w:rFonts w:ascii="Verdana" w:eastAsia="Calibri" w:hAnsi="Verdana" w:cs="Verdana"/>
          <w:sz w:val="20"/>
          <w:szCs w:val="20"/>
          <w:lang w:val="es-ES"/>
        </w:rPr>
        <w:t xml:space="preserve"> </w:t>
      </w:r>
      <w:r w:rsidRPr="00582C7C">
        <w:rPr>
          <w:rFonts w:ascii="Verdana" w:eastAsia="Calibri" w:hAnsi="Verdana" w:cs="Verdana"/>
          <w:sz w:val="20"/>
          <w:szCs w:val="20"/>
          <w:lang w:val="es-ES"/>
        </w:rPr>
        <w:t>respectivamente,</w:t>
      </w:r>
      <w:r w:rsidR="009A486F">
        <w:rPr>
          <w:rFonts w:ascii="Verdana" w:eastAsia="Calibri" w:hAnsi="Verdana" w:cs="Verdana"/>
          <w:sz w:val="20"/>
          <w:szCs w:val="20"/>
          <w:lang w:val="es-ES"/>
        </w:rPr>
        <w:t xml:space="preserve"> </w:t>
      </w:r>
      <w:r w:rsidRPr="00582C7C">
        <w:rPr>
          <w:rFonts w:ascii="Verdana" w:eastAsia="Calibri" w:hAnsi="Verdana" w:cs="Verdana"/>
          <w:sz w:val="20"/>
          <w:szCs w:val="20"/>
          <w:lang w:val="es-ES"/>
        </w:rPr>
        <w:t>sus observaciones a l</w:t>
      </w:r>
      <w:r w:rsidR="005076BB">
        <w:rPr>
          <w:rFonts w:ascii="Verdana" w:eastAsia="Calibri" w:hAnsi="Verdana" w:cs="Verdana"/>
          <w:sz w:val="20"/>
          <w:szCs w:val="20"/>
          <w:lang w:val="es-ES"/>
        </w:rPr>
        <w:t>a solicitud de la representante</w:t>
      </w:r>
      <w:r w:rsidR="005548CE">
        <w:rPr>
          <w:rFonts w:ascii="Verdana" w:eastAsia="Calibri" w:hAnsi="Verdana" w:cs="Verdana"/>
          <w:sz w:val="20"/>
          <w:szCs w:val="20"/>
          <w:lang w:val="es-ES"/>
        </w:rPr>
        <w:t xml:space="preserve"> (</w:t>
      </w:r>
      <w:r w:rsidR="005548CE">
        <w:rPr>
          <w:rFonts w:ascii="Verdana" w:eastAsia="Calibri" w:hAnsi="Verdana" w:cs="Verdana"/>
          <w:i/>
          <w:sz w:val="20"/>
          <w:szCs w:val="20"/>
          <w:lang w:val="es-ES"/>
        </w:rPr>
        <w:t xml:space="preserve">supra </w:t>
      </w:r>
      <w:r w:rsidR="005548CE">
        <w:rPr>
          <w:rFonts w:ascii="Verdana" w:eastAsia="Calibri" w:hAnsi="Verdana" w:cs="Verdana"/>
          <w:sz w:val="20"/>
          <w:szCs w:val="20"/>
          <w:lang w:val="es-ES"/>
        </w:rPr>
        <w:t>Visto 1)</w:t>
      </w:r>
      <w:r w:rsidR="005076BB">
        <w:rPr>
          <w:rFonts w:ascii="Verdana" w:eastAsia="Calibri" w:hAnsi="Verdana" w:cs="Verdana"/>
          <w:sz w:val="20"/>
          <w:szCs w:val="20"/>
          <w:lang w:val="es-ES"/>
        </w:rPr>
        <w:t>.</w:t>
      </w:r>
    </w:p>
    <w:p w:rsidR="005F7D78" w:rsidRPr="00582C7C" w:rsidRDefault="005F7D78" w:rsidP="005076BB">
      <w:pPr>
        <w:pStyle w:val="ListParagraph"/>
        <w:spacing w:after="0" w:line="240" w:lineRule="auto"/>
        <w:ind w:left="0"/>
        <w:rPr>
          <w:rFonts w:ascii="Verdana" w:hAnsi="Verdana"/>
          <w:sz w:val="20"/>
          <w:szCs w:val="20"/>
          <w:lang w:val="es-ES"/>
        </w:rPr>
      </w:pPr>
    </w:p>
    <w:p w:rsidR="004E58EE" w:rsidRDefault="004E58EE" w:rsidP="005076BB">
      <w:pPr>
        <w:pStyle w:val="ListParagraph"/>
        <w:spacing w:after="0" w:line="240" w:lineRule="auto"/>
        <w:ind w:left="0"/>
        <w:rPr>
          <w:rFonts w:ascii="Verdana" w:hAnsi="Verdana"/>
          <w:b/>
          <w:sz w:val="20"/>
          <w:szCs w:val="20"/>
          <w:lang w:val="es-ES"/>
        </w:rPr>
      </w:pPr>
      <w:r w:rsidRPr="00582C7C">
        <w:rPr>
          <w:rFonts w:ascii="Verdana" w:hAnsi="Verdana"/>
          <w:b/>
          <w:sz w:val="20"/>
          <w:szCs w:val="20"/>
          <w:lang w:val="es-ES"/>
        </w:rPr>
        <w:t xml:space="preserve">CONSIDERANDO QUE: </w:t>
      </w:r>
    </w:p>
    <w:p w:rsidR="00692AED" w:rsidRDefault="00692AED" w:rsidP="005076BB">
      <w:pPr>
        <w:pStyle w:val="ListParagraph"/>
        <w:spacing w:after="0" w:line="240" w:lineRule="auto"/>
        <w:ind w:left="0"/>
        <w:rPr>
          <w:rFonts w:ascii="Verdana" w:hAnsi="Verdana"/>
          <w:b/>
          <w:sz w:val="20"/>
          <w:szCs w:val="20"/>
          <w:lang w:val="es-ES"/>
        </w:rPr>
      </w:pPr>
    </w:p>
    <w:p w:rsidR="00CB0F57" w:rsidRPr="008C6E44" w:rsidRDefault="00904A28" w:rsidP="005076BB">
      <w:pPr>
        <w:pStyle w:val="ListParagraph"/>
        <w:numPr>
          <w:ilvl w:val="0"/>
          <w:numId w:val="2"/>
        </w:numPr>
        <w:spacing w:after="0" w:line="240" w:lineRule="auto"/>
        <w:jc w:val="both"/>
        <w:rPr>
          <w:rFonts w:ascii="Verdana" w:hAnsi="Verdana"/>
          <w:sz w:val="20"/>
          <w:szCs w:val="20"/>
          <w:lang w:val="es-CR"/>
        </w:rPr>
      </w:pPr>
      <w:r w:rsidRPr="00C84994">
        <w:rPr>
          <w:rFonts w:ascii="Verdana" w:hAnsi="Verdana"/>
          <w:sz w:val="20"/>
          <w:szCs w:val="20"/>
          <w:lang w:val="es-CR"/>
        </w:rPr>
        <w:t>Mediante escrito de 23 de noviembre de 2012 la representante de las</w:t>
      </w:r>
      <w:r w:rsidR="00464B15">
        <w:rPr>
          <w:rFonts w:ascii="Verdana" w:hAnsi="Verdana"/>
          <w:sz w:val="20"/>
          <w:szCs w:val="20"/>
          <w:lang w:val="es-CR"/>
        </w:rPr>
        <w:t xml:space="preserve"> presuntas</w:t>
      </w:r>
      <w:r w:rsidRPr="00C84994">
        <w:rPr>
          <w:rFonts w:ascii="Verdana" w:hAnsi="Verdana"/>
          <w:sz w:val="20"/>
          <w:szCs w:val="20"/>
          <w:lang w:val="es-CR"/>
        </w:rPr>
        <w:t xml:space="preserve"> víctimas </w:t>
      </w:r>
      <w:r w:rsidR="006B1FD4">
        <w:rPr>
          <w:rFonts w:ascii="Verdana" w:hAnsi="Verdana"/>
          <w:sz w:val="20"/>
          <w:szCs w:val="20"/>
          <w:lang w:val="es-CR"/>
        </w:rPr>
        <w:t xml:space="preserve">transmitió </w:t>
      </w:r>
      <w:r w:rsidR="00F9161C">
        <w:rPr>
          <w:rFonts w:ascii="Verdana" w:hAnsi="Verdana"/>
          <w:sz w:val="20"/>
          <w:szCs w:val="20"/>
          <w:lang w:val="es-CR"/>
        </w:rPr>
        <w:t>a la Corte Interamericana de Derechos Humanos (en adelante,</w:t>
      </w:r>
      <w:r w:rsidR="00743479">
        <w:rPr>
          <w:rFonts w:ascii="Verdana" w:hAnsi="Verdana"/>
          <w:sz w:val="20"/>
          <w:szCs w:val="20"/>
          <w:lang w:val="es-CR"/>
        </w:rPr>
        <w:t xml:space="preserve"> “la Corte Interamericana”,</w:t>
      </w:r>
      <w:r w:rsidR="00F9161C">
        <w:rPr>
          <w:rFonts w:ascii="Verdana" w:hAnsi="Verdana"/>
          <w:sz w:val="20"/>
          <w:szCs w:val="20"/>
          <w:lang w:val="es-CR"/>
        </w:rPr>
        <w:t xml:space="preserve"> “la Corte” o “el Tribunal”</w:t>
      </w:r>
      <w:r w:rsidR="006F3C2F">
        <w:rPr>
          <w:rFonts w:ascii="Verdana" w:hAnsi="Verdana"/>
          <w:sz w:val="20"/>
          <w:szCs w:val="20"/>
          <w:lang w:val="es-CR"/>
        </w:rPr>
        <w:t>)</w:t>
      </w:r>
      <w:r w:rsidRPr="00C84994">
        <w:rPr>
          <w:rFonts w:ascii="Verdana" w:hAnsi="Verdana"/>
          <w:sz w:val="20"/>
          <w:szCs w:val="20"/>
          <w:lang w:val="es-CR"/>
        </w:rPr>
        <w:t xml:space="preserve"> </w:t>
      </w:r>
      <w:r w:rsidR="006B1FD4">
        <w:rPr>
          <w:rFonts w:ascii="Verdana" w:hAnsi="Verdana"/>
          <w:sz w:val="20"/>
          <w:szCs w:val="20"/>
          <w:lang w:val="es-CR"/>
        </w:rPr>
        <w:t>la solicitud de</w:t>
      </w:r>
      <w:r w:rsidR="006B1FD4" w:rsidRPr="006B1FD4">
        <w:rPr>
          <w:rFonts w:ascii="Verdana" w:hAnsi="Verdana"/>
          <w:sz w:val="20"/>
          <w:szCs w:val="20"/>
          <w:lang w:val="es-CR"/>
        </w:rPr>
        <w:t xml:space="preserve"> </w:t>
      </w:r>
      <w:r w:rsidR="006B1FD4" w:rsidRPr="00C84994">
        <w:rPr>
          <w:rFonts w:ascii="Verdana" w:hAnsi="Verdana"/>
          <w:sz w:val="20"/>
          <w:szCs w:val="20"/>
          <w:lang w:val="es-CR"/>
        </w:rPr>
        <w:t>Saúl Roldán Cajal</w:t>
      </w:r>
      <w:r w:rsidR="006F3C2F">
        <w:rPr>
          <w:rFonts w:ascii="Verdana" w:hAnsi="Verdana"/>
          <w:sz w:val="20"/>
          <w:szCs w:val="20"/>
          <w:lang w:val="es-CR"/>
        </w:rPr>
        <w:t>,</w:t>
      </w:r>
      <w:r w:rsidR="00464B15">
        <w:rPr>
          <w:rFonts w:ascii="Verdana" w:hAnsi="Verdana"/>
          <w:sz w:val="20"/>
          <w:szCs w:val="20"/>
          <w:lang w:val="es-CR"/>
        </w:rPr>
        <w:t xml:space="preserve"> </w:t>
      </w:r>
      <w:r w:rsidR="00464B15" w:rsidRPr="008C6E44">
        <w:rPr>
          <w:rFonts w:ascii="Verdana" w:hAnsi="Verdana"/>
          <w:sz w:val="20"/>
          <w:szCs w:val="20"/>
          <w:lang w:val="es-CR"/>
        </w:rPr>
        <w:t xml:space="preserve">presunta </w:t>
      </w:r>
      <w:r w:rsidR="006F3C2F" w:rsidRPr="008C6E44">
        <w:rPr>
          <w:rFonts w:ascii="Verdana" w:hAnsi="Verdana"/>
          <w:sz w:val="20"/>
          <w:szCs w:val="20"/>
          <w:lang w:val="es-CR"/>
        </w:rPr>
        <w:t>víctima en el presente caso</w:t>
      </w:r>
      <w:r w:rsidR="006F3C2F" w:rsidRPr="008C6E44">
        <w:rPr>
          <w:rStyle w:val="FootnoteReference"/>
          <w:rFonts w:ascii="Verdana" w:hAnsi="Verdana"/>
          <w:sz w:val="20"/>
          <w:szCs w:val="20"/>
          <w:lang w:val="es-CR"/>
        </w:rPr>
        <w:footnoteReference w:id="2"/>
      </w:r>
      <w:r w:rsidR="00CB0F57" w:rsidRPr="008C6E44">
        <w:rPr>
          <w:rFonts w:ascii="Verdana" w:hAnsi="Verdana"/>
          <w:sz w:val="20"/>
          <w:szCs w:val="20"/>
          <w:lang w:val="es-CR"/>
        </w:rPr>
        <w:t>,</w:t>
      </w:r>
      <w:r w:rsidR="006B1FD4" w:rsidRPr="008C6E44">
        <w:rPr>
          <w:rFonts w:ascii="Verdana" w:hAnsi="Verdana"/>
          <w:sz w:val="20"/>
          <w:szCs w:val="20"/>
          <w:lang w:val="es-CR"/>
        </w:rPr>
        <w:t xml:space="preserve"> de </w:t>
      </w:r>
      <w:r w:rsidRPr="008C6E44">
        <w:rPr>
          <w:rFonts w:ascii="Verdana" w:hAnsi="Verdana"/>
          <w:sz w:val="20"/>
          <w:szCs w:val="20"/>
          <w:lang w:val="es-CR"/>
        </w:rPr>
        <w:t xml:space="preserve">que se mantuviera en reserva </w:t>
      </w:r>
      <w:r w:rsidR="006B1FD4" w:rsidRPr="008C6E44">
        <w:rPr>
          <w:rFonts w:ascii="Verdana" w:hAnsi="Verdana"/>
          <w:sz w:val="20"/>
          <w:szCs w:val="20"/>
          <w:lang w:val="es-CR"/>
        </w:rPr>
        <w:t xml:space="preserve">su identidad </w:t>
      </w:r>
      <w:r w:rsidR="0067769E" w:rsidRPr="008C6E44">
        <w:rPr>
          <w:rFonts w:ascii="Verdana" w:hAnsi="Verdana"/>
          <w:sz w:val="20"/>
          <w:szCs w:val="20"/>
          <w:lang w:val="es-CR"/>
        </w:rPr>
        <w:t>en l</w:t>
      </w:r>
      <w:r w:rsidR="002E7D49">
        <w:rPr>
          <w:rFonts w:ascii="Verdana" w:hAnsi="Verdana"/>
          <w:sz w:val="20"/>
          <w:szCs w:val="20"/>
          <w:lang w:val="es-CR"/>
        </w:rPr>
        <w:t>a Sentencia que dictara</w:t>
      </w:r>
      <w:r w:rsidR="0043114D">
        <w:rPr>
          <w:rFonts w:ascii="Verdana" w:hAnsi="Verdana"/>
          <w:sz w:val="20"/>
          <w:szCs w:val="20"/>
          <w:lang w:val="es-CR"/>
        </w:rPr>
        <w:t xml:space="preserve"> el Tribunal</w:t>
      </w:r>
      <w:r w:rsidR="0067769E" w:rsidRPr="008C6E44">
        <w:rPr>
          <w:rFonts w:ascii="Verdana" w:hAnsi="Verdana"/>
          <w:sz w:val="20"/>
          <w:szCs w:val="20"/>
          <w:lang w:val="es-CR"/>
        </w:rPr>
        <w:t xml:space="preserve">, </w:t>
      </w:r>
      <w:r w:rsidR="002B4639" w:rsidRPr="008C6E44">
        <w:rPr>
          <w:rFonts w:ascii="Verdana" w:hAnsi="Verdana"/>
          <w:sz w:val="20"/>
          <w:szCs w:val="20"/>
          <w:lang w:val="es-CR"/>
        </w:rPr>
        <w:t>ya</w:t>
      </w:r>
      <w:r w:rsidR="0067769E" w:rsidRPr="008C6E44">
        <w:rPr>
          <w:rFonts w:ascii="Verdana" w:hAnsi="Verdana"/>
          <w:sz w:val="20"/>
          <w:szCs w:val="20"/>
          <w:lang w:val="es-CR"/>
        </w:rPr>
        <w:t xml:space="preserve"> que </w:t>
      </w:r>
      <w:r w:rsidRPr="008C6E44">
        <w:rPr>
          <w:rFonts w:ascii="Verdana" w:hAnsi="Verdana"/>
          <w:sz w:val="20"/>
          <w:szCs w:val="20"/>
          <w:lang w:val="es-CR"/>
        </w:rPr>
        <w:t>“la divulgación de su nombre y apellido en la [S]</w:t>
      </w:r>
      <w:proofErr w:type="spellStart"/>
      <w:r w:rsidRPr="008C6E44">
        <w:rPr>
          <w:rFonts w:ascii="Verdana" w:hAnsi="Verdana"/>
          <w:sz w:val="20"/>
          <w:szCs w:val="20"/>
          <w:lang w:val="es-CR"/>
        </w:rPr>
        <w:t>entencia</w:t>
      </w:r>
      <w:proofErr w:type="spellEnd"/>
      <w:r w:rsidRPr="008C6E44">
        <w:rPr>
          <w:rFonts w:ascii="Verdana" w:hAnsi="Verdana"/>
          <w:sz w:val="20"/>
          <w:szCs w:val="20"/>
          <w:lang w:val="es-CR"/>
        </w:rPr>
        <w:t xml:space="preserve"> podría causar que tanto él como sus familiares estén expuestos a posibles represalias por parte de personas con las que ha mantenido trato durante tantos años transcurridos en prisiones de la provincia de Mendoza”.</w:t>
      </w:r>
      <w:r w:rsidR="007336E2" w:rsidRPr="008C6E44">
        <w:rPr>
          <w:rFonts w:ascii="Verdana" w:hAnsi="Verdana"/>
          <w:sz w:val="16"/>
          <w:szCs w:val="20"/>
          <w:lang w:val="es-CR"/>
        </w:rPr>
        <w:t xml:space="preserve"> </w:t>
      </w:r>
    </w:p>
    <w:p w:rsidR="00CB0F57" w:rsidRPr="008C6E44" w:rsidRDefault="00CB0F57" w:rsidP="00CB0F57">
      <w:pPr>
        <w:pStyle w:val="ListParagraph"/>
        <w:spacing w:after="0" w:line="240" w:lineRule="auto"/>
        <w:ind w:left="0"/>
        <w:jc w:val="both"/>
        <w:rPr>
          <w:rFonts w:ascii="Verdana" w:hAnsi="Verdana"/>
          <w:sz w:val="20"/>
          <w:szCs w:val="20"/>
          <w:lang w:val="es-CR"/>
        </w:rPr>
      </w:pPr>
    </w:p>
    <w:p w:rsidR="00904A28" w:rsidRDefault="00904A28" w:rsidP="005076BB">
      <w:pPr>
        <w:pStyle w:val="ListParagraph"/>
        <w:numPr>
          <w:ilvl w:val="0"/>
          <w:numId w:val="2"/>
        </w:numPr>
        <w:spacing w:after="0" w:line="240" w:lineRule="auto"/>
        <w:jc w:val="both"/>
        <w:rPr>
          <w:rFonts w:ascii="Verdana" w:hAnsi="Verdana"/>
          <w:sz w:val="20"/>
          <w:szCs w:val="20"/>
          <w:lang w:val="es-CR"/>
        </w:rPr>
      </w:pPr>
      <w:r w:rsidRPr="008C6E44">
        <w:rPr>
          <w:rFonts w:ascii="Verdana" w:hAnsi="Verdana"/>
          <w:sz w:val="20"/>
          <w:szCs w:val="20"/>
          <w:lang w:val="es-CR"/>
        </w:rPr>
        <w:t>Al respecto, la Comisión señaló que “este tipo de solicitudes deben ser resueltas tomando e</w:t>
      </w:r>
      <w:r w:rsidR="005A1180" w:rsidRPr="008C6E44">
        <w:rPr>
          <w:rFonts w:ascii="Verdana" w:hAnsi="Verdana"/>
          <w:sz w:val="20"/>
          <w:szCs w:val="20"/>
          <w:lang w:val="es-CR"/>
        </w:rPr>
        <w:t>n especial consideración</w:t>
      </w:r>
      <w:r w:rsidRPr="008C6E44">
        <w:rPr>
          <w:rFonts w:ascii="Verdana" w:hAnsi="Verdana"/>
          <w:sz w:val="20"/>
          <w:szCs w:val="20"/>
          <w:lang w:val="es-CR"/>
        </w:rPr>
        <w:t xml:space="preserve"> los intereses y la voluntad de las propias víctimas […y] </w:t>
      </w:r>
      <w:proofErr w:type="gramStart"/>
      <w:r w:rsidRPr="008C6E44">
        <w:rPr>
          <w:rFonts w:ascii="Verdana" w:hAnsi="Verdana"/>
          <w:sz w:val="20"/>
          <w:szCs w:val="20"/>
          <w:lang w:val="es-CR"/>
        </w:rPr>
        <w:t>toma[</w:t>
      </w:r>
      <w:proofErr w:type="spellStart"/>
      <w:proofErr w:type="gramEnd"/>
      <w:r w:rsidRPr="008C6E44">
        <w:rPr>
          <w:rFonts w:ascii="Verdana" w:hAnsi="Verdana"/>
          <w:sz w:val="20"/>
          <w:szCs w:val="20"/>
          <w:lang w:val="es-CR"/>
        </w:rPr>
        <w:t>ndo</w:t>
      </w:r>
      <w:proofErr w:type="spellEnd"/>
      <w:r w:rsidRPr="008C6E44">
        <w:rPr>
          <w:rFonts w:ascii="Verdana" w:hAnsi="Verdana"/>
          <w:sz w:val="20"/>
          <w:szCs w:val="20"/>
          <w:lang w:val="es-CR"/>
        </w:rPr>
        <w:t>] en</w:t>
      </w:r>
      <w:r w:rsidR="005A1180" w:rsidRPr="008C6E44">
        <w:rPr>
          <w:rFonts w:ascii="Verdana" w:hAnsi="Verdana"/>
          <w:sz w:val="20"/>
          <w:szCs w:val="20"/>
          <w:lang w:val="es-CR"/>
        </w:rPr>
        <w:t xml:space="preserve"> [cuenta]</w:t>
      </w:r>
      <w:r w:rsidRPr="008C6E44">
        <w:rPr>
          <w:rFonts w:ascii="Verdana" w:hAnsi="Verdana"/>
          <w:sz w:val="20"/>
          <w:szCs w:val="20"/>
          <w:lang w:val="es-CR"/>
        </w:rPr>
        <w:t xml:space="preserve"> que el joven Roldán Cajal permanece privado de la libertad y ha manifestado temor a represalias al interior del centro penitenciario”.</w:t>
      </w:r>
      <w:r w:rsidR="005A1180" w:rsidRPr="008C6E44">
        <w:rPr>
          <w:rFonts w:ascii="Verdana" w:hAnsi="Verdana"/>
          <w:sz w:val="20"/>
          <w:szCs w:val="20"/>
          <w:lang w:val="es-CR"/>
        </w:rPr>
        <w:t xml:space="preserve"> </w:t>
      </w:r>
      <w:r w:rsidR="00612E89">
        <w:rPr>
          <w:rFonts w:ascii="Verdana" w:hAnsi="Verdana"/>
          <w:sz w:val="20"/>
          <w:szCs w:val="20"/>
          <w:lang w:val="es-CR"/>
        </w:rPr>
        <w:t>E</w:t>
      </w:r>
      <w:r w:rsidRPr="008C6E44">
        <w:rPr>
          <w:rFonts w:ascii="Verdana" w:hAnsi="Verdana"/>
          <w:sz w:val="20"/>
          <w:szCs w:val="20"/>
          <w:lang w:val="es-CR"/>
        </w:rPr>
        <w:t xml:space="preserve">l Estado manifestó que “más allá de la </w:t>
      </w:r>
      <w:r w:rsidR="005A1180" w:rsidRPr="008C6E44">
        <w:rPr>
          <w:rFonts w:ascii="Verdana" w:hAnsi="Verdana"/>
          <w:sz w:val="20"/>
          <w:szCs w:val="20"/>
          <w:lang w:val="es-CR"/>
        </w:rPr>
        <w:t>eficacia</w:t>
      </w:r>
      <w:r w:rsidRPr="008C6E44">
        <w:rPr>
          <w:rFonts w:ascii="Verdana" w:hAnsi="Verdana"/>
          <w:sz w:val="20"/>
          <w:szCs w:val="20"/>
          <w:lang w:val="es-CR"/>
        </w:rPr>
        <w:t xml:space="preserve"> de lo solicitado, no </w:t>
      </w:r>
      <w:proofErr w:type="spellStart"/>
      <w:proofErr w:type="gramStart"/>
      <w:r w:rsidRPr="008C6E44">
        <w:rPr>
          <w:rFonts w:ascii="Verdana" w:hAnsi="Verdana"/>
          <w:sz w:val="20"/>
          <w:szCs w:val="20"/>
          <w:lang w:val="es-CR"/>
        </w:rPr>
        <w:t>merec</w:t>
      </w:r>
      <w:proofErr w:type="spellEnd"/>
      <w:r w:rsidRPr="008C6E44">
        <w:rPr>
          <w:rFonts w:ascii="Verdana" w:hAnsi="Verdana"/>
          <w:sz w:val="20"/>
          <w:szCs w:val="20"/>
          <w:lang w:val="es-CR"/>
        </w:rPr>
        <w:t>[</w:t>
      </w:r>
      <w:proofErr w:type="spellStart"/>
      <w:proofErr w:type="gramEnd"/>
      <w:r w:rsidRPr="008C6E44">
        <w:rPr>
          <w:rFonts w:ascii="Verdana" w:hAnsi="Verdana"/>
          <w:sz w:val="20"/>
          <w:szCs w:val="20"/>
          <w:lang w:val="es-CR"/>
        </w:rPr>
        <w:t>ía</w:t>
      </w:r>
      <w:proofErr w:type="spellEnd"/>
      <w:r w:rsidRPr="008C6E44">
        <w:rPr>
          <w:rFonts w:ascii="Verdana" w:hAnsi="Verdana"/>
          <w:sz w:val="20"/>
          <w:szCs w:val="20"/>
          <w:lang w:val="es-CR"/>
        </w:rPr>
        <w:t>] reparo alguno de</w:t>
      </w:r>
      <w:r w:rsidRPr="00C84994">
        <w:rPr>
          <w:rFonts w:ascii="Verdana" w:hAnsi="Verdana"/>
          <w:sz w:val="20"/>
          <w:szCs w:val="20"/>
          <w:lang w:val="es-CR"/>
        </w:rPr>
        <w:t xml:space="preserve"> [su] parte”</w:t>
      </w:r>
      <w:r w:rsidR="00CB0F57">
        <w:rPr>
          <w:rFonts w:ascii="Verdana" w:hAnsi="Verdana"/>
          <w:sz w:val="20"/>
          <w:szCs w:val="20"/>
          <w:lang w:val="es-CR"/>
        </w:rPr>
        <w:t>.</w:t>
      </w:r>
    </w:p>
    <w:p w:rsidR="00C84994" w:rsidRDefault="000B1F93" w:rsidP="000B1F93">
      <w:pPr>
        <w:pStyle w:val="ListParagraph"/>
        <w:spacing w:after="0" w:line="240" w:lineRule="auto"/>
        <w:ind w:left="0"/>
        <w:jc w:val="center"/>
        <w:rPr>
          <w:rFonts w:ascii="Verdana" w:hAnsi="Verdana"/>
          <w:sz w:val="20"/>
          <w:szCs w:val="20"/>
          <w:lang w:val="es-CR"/>
        </w:rPr>
      </w:pPr>
      <w:r>
        <w:rPr>
          <w:rFonts w:ascii="Verdana" w:hAnsi="Verdana"/>
          <w:sz w:val="20"/>
          <w:szCs w:val="20"/>
          <w:lang w:val="es-CR"/>
        </w:rPr>
        <w:lastRenderedPageBreak/>
        <w:t>-2-</w:t>
      </w:r>
    </w:p>
    <w:p w:rsidR="000B1F93" w:rsidRDefault="000B1F93" w:rsidP="005076BB">
      <w:pPr>
        <w:pStyle w:val="ListParagraph"/>
        <w:spacing w:after="0" w:line="240" w:lineRule="auto"/>
        <w:ind w:left="0"/>
        <w:jc w:val="both"/>
        <w:rPr>
          <w:rFonts w:ascii="Verdana" w:hAnsi="Verdana"/>
          <w:sz w:val="20"/>
          <w:szCs w:val="20"/>
          <w:lang w:val="es-CR"/>
        </w:rPr>
      </w:pPr>
    </w:p>
    <w:p w:rsidR="00884202" w:rsidRPr="00474DE4" w:rsidRDefault="008D0EA8" w:rsidP="005076BB">
      <w:pPr>
        <w:pStyle w:val="ListParagraph"/>
        <w:numPr>
          <w:ilvl w:val="0"/>
          <w:numId w:val="2"/>
        </w:numPr>
        <w:spacing w:after="0" w:line="240" w:lineRule="auto"/>
        <w:jc w:val="both"/>
        <w:rPr>
          <w:rFonts w:ascii="Verdana" w:hAnsi="Verdana"/>
          <w:sz w:val="20"/>
          <w:szCs w:val="20"/>
          <w:lang w:val="es-CR"/>
        </w:rPr>
      </w:pPr>
      <w:r w:rsidRPr="00C858CD">
        <w:rPr>
          <w:rFonts w:ascii="Verdana" w:hAnsi="Verdana"/>
          <w:sz w:val="20"/>
          <w:szCs w:val="20"/>
          <w:lang w:val="es-CR"/>
        </w:rPr>
        <w:t xml:space="preserve">El Tribunal </w:t>
      </w:r>
      <w:r w:rsidR="00CB0F57" w:rsidRPr="00C858CD">
        <w:rPr>
          <w:rFonts w:ascii="Verdana" w:hAnsi="Verdana"/>
          <w:sz w:val="20"/>
          <w:szCs w:val="20"/>
          <w:lang w:val="es-CR"/>
        </w:rPr>
        <w:t xml:space="preserve">ha constatado que </w:t>
      </w:r>
      <w:r w:rsidR="00B54ED6" w:rsidRPr="00C858CD">
        <w:rPr>
          <w:rFonts w:ascii="Verdana" w:hAnsi="Verdana"/>
          <w:sz w:val="20"/>
          <w:szCs w:val="20"/>
          <w:lang w:val="es-CR"/>
        </w:rPr>
        <w:t>la identidad de la</w:t>
      </w:r>
      <w:r w:rsidR="005A1180" w:rsidRPr="00C858CD">
        <w:rPr>
          <w:rFonts w:ascii="Verdana" w:hAnsi="Verdana"/>
          <w:sz w:val="20"/>
          <w:szCs w:val="20"/>
          <w:lang w:val="es-CR"/>
        </w:rPr>
        <w:t xml:space="preserve"> presunta</w:t>
      </w:r>
      <w:r w:rsidR="00B54ED6" w:rsidRPr="00C858CD">
        <w:rPr>
          <w:rFonts w:ascii="Verdana" w:hAnsi="Verdana"/>
          <w:sz w:val="20"/>
          <w:szCs w:val="20"/>
          <w:lang w:val="es-CR"/>
        </w:rPr>
        <w:t xml:space="preserve"> víctima referida </w:t>
      </w:r>
      <w:r w:rsidR="00F42384" w:rsidRPr="00C858CD">
        <w:rPr>
          <w:rFonts w:ascii="Verdana" w:hAnsi="Verdana"/>
          <w:sz w:val="20"/>
          <w:szCs w:val="20"/>
          <w:lang w:val="es-CR"/>
        </w:rPr>
        <w:t xml:space="preserve">se encuentra registrada en el Informe de </w:t>
      </w:r>
      <w:r w:rsidR="00B54ED6" w:rsidRPr="00C858CD">
        <w:rPr>
          <w:rFonts w:ascii="Verdana" w:hAnsi="Verdana"/>
          <w:sz w:val="20"/>
          <w:szCs w:val="20"/>
          <w:lang w:val="es-CR"/>
        </w:rPr>
        <w:t>Fond</w:t>
      </w:r>
      <w:r w:rsidR="00F42384" w:rsidRPr="00C858CD">
        <w:rPr>
          <w:rFonts w:ascii="Verdana" w:hAnsi="Verdana"/>
          <w:sz w:val="20"/>
          <w:szCs w:val="20"/>
          <w:lang w:val="es-CR"/>
        </w:rPr>
        <w:t xml:space="preserve">o de la Comisión, el cual es de conocimiento público y se encuentra </w:t>
      </w:r>
      <w:r w:rsidR="00B60947" w:rsidRPr="00C858CD">
        <w:rPr>
          <w:rFonts w:ascii="Verdana" w:hAnsi="Verdana"/>
          <w:sz w:val="20"/>
          <w:szCs w:val="20"/>
          <w:lang w:val="es-CR"/>
        </w:rPr>
        <w:t>disponible en el sitio web de dicho órgano</w:t>
      </w:r>
      <w:r w:rsidR="0036283C" w:rsidRPr="00C858CD">
        <w:rPr>
          <w:rStyle w:val="FootnoteReference"/>
          <w:rFonts w:ascii="Verdana" w:hAnsi="Verdana"/>
          <w:sz w:val="20"/>
          <w:szCs w:val="20"/>
          <w:lang w:val="es-CR"/>
        </w:rPr>
        <w:footnoteReference w:id="3"/>
      </w:r>
      <w:r w:rsidRPr="00C858CD">
        <w:rPr>
          <w:rFonts w:ascii="Verdana" w:hAnsi="Verdana"/>
          <w:sz w:val="20"/>
          <w:szCs w:val="20"/>
          <w:lang w:val="es-CR"/>
        </w:rPr>
        <w:t xml:space="preserve">. </w:t>
      </w:r>
      <w:r w:rsidR="00884202" w:rsidRPr="00C858CD">
        <w:rPr>
          <w:rFonts w:ascii="Verdana" w:hAnsi="Verdana"/>
          <w:sz w:val="20"/>
          <w:szCs w:val="20"/>
          <w:lang w:val="es-CR"/>
        </w:rPr>
        <w:t xml:space="preserve">Asimismo, el Tribunal observa que el nombre de Saúl Roldán Cajal también </w:t>
      </w:r>
      <w:r w:rsidR="000B39CF" w:rsidRPr="00C858CD">
        <w:rPr>
          <w:rFonts w:ascii="Verdana" w:hAnsi="Verdana"/>
          <w:sz w:val="20"/>
          <w:szCs w:val="20"/>
          <w:lang w:val="es-CR"/>
        </w:rPr>
        <w:t xml:space="preserve">ha figurado de manera pública durante el trámite del caso ante esta Corte, en particular, en la Resolución </w:t>
      </w:r>
      <w:r w:rsidR="007A5DC3" w:rsidRPr="00C858CD">
        <w:rPr>
          <w:rFonts w:ascii="Verdana" w:hAnsi="Verdana"/>
          <w:sz w:val="20"/>
          <w:szCs w:val="20"/>
          <w:lang w:val="es-CR"/>
        </w:rPr>
        <w:t xml:space="preserve">de convocatoria </w:t>
      </w:r>
      <w:r w:rsidR="000B39CF" w:rsidRPr="00C858CD">
        <w:rPr>
          <w:rFonts w:ascii="Verdana" w:hAnsi="Verdana"/>
          <w:sz w:val="20"/>
          <w:szCs w:val="20"/>
          <w:lang w:val="es-CR"/>
        </w:rPr>
        <w:t>del</w:t>
      </w:r>
      <w:r w:rsidR="000B39CF">
        <w:rPr>
          <w:rFonts w:ascii="Verdana" w:hAnsi="Verdana"/>
          <w:sz w:val="20"/>
          <w:szCs w:val="20"/>
          <w:lang w:val="es-CR"/>
        </w:rPr>
        <w:t xml:space="preserve"> Presidente </w:t>
      </w:r>
      <w:r w:rsidR="007B2BB5">
        <w:rPr>
          <w:rFonts w:ascii="Verdana" w:hAnsi="Verdana"/>
          <w:sz w:val="20"/>
          <w:szCs w:val="20"/>
          <w:lang w:val="es-CR"/>
        </w:rPr>
        <w:t xml:space="preserve">de la Corte de </w:t>
      </w:r>
      <w:r w:rsidR="00F969C6">
        <w:rPr>
          <w:rFonts w:ascii="Verdana" w:hAnsi="Verdana"/>
          <w:sz w:val="20"/>
          <w:szCs w:val="20"/>
          <w:lang w:val="es-CR"/>
        </w:rPr>
        <w:t>1 de agosto de 2012</w:t>
      </w:r>
      <w:r w:rsidR="00EC4530">
        <w:rPr>
          <w:rStyle w:val="FootnoteReference"/>
          <w:rFonts w:ascii="Verdana" w:hAnsi="Verdana"/>
          <w:sz w:val="20"/>
          <w:szCs w:val="20"/>
          <w:lang w:val="es-CR"/>
        </w:rPr>
        <w:footnoteReference w:id="4"/>
      </w:r>
      <w:r w:rsidR="003943A6">
        <w:rPr>
          <w:rFonts w:ascii="Verdana" w:hAnsi="Verdana"/>
          <w:sz w:val="20"/>
          <w:szCs w:val="20"/>
          <w:lang w:val="es-CR"/>
        </w:rPr>
        <w:t xml:space="preserve">, </w:t>
      </w:r>
      <w:r w:rsidR="007A5DC3">
        <w:rPr>
          <w:rFonts w:ascii="Verdana" w:hAnsi="Verdana"/>
          <w:sz w:val="20"/>
          <w:szCs w:val="20"/>
          <w:lang w:val="es-CR"/>
        </w:rPr>
        <w:t xml:space="preserve">así como en la audiencia pública celebrada </w:t>
      </w:r>
      <w:r w:rsidR="000972CF">
        <w:rPr>
          <w:rFonts w:ascii="Verdana" w:hAnsi="Verdana"/>
          <w:sz w:val="20"/>
          <w:szCs w:val="20"/>
          <w:lang w:val="es-CR"/>
        </w:rPr>
        <w:t xml:space="preserve">el 30 de </w:t>
      </w:r>
      <w:r w:rsidR="000972CF" w:rsidRPr="00474DE4">
        <w:rPr>
          <w:rFonts w:ascii="Verdana" w:hAnsi="Verdana"/>
          <w:sz w:val="20"/>
          <w:szCs w:val="20"/>
          <w:lang w:val="es-CR"/>
        </w:rPr>
        <w:t>agosto de 2012 durante el 96 Período Ordinario de Sesiones de este Tribunal</w:t>
      </w:r>
      <w:r w:rsidR="00425D38">
        <w:rPr>
          <w:rFonts w:ascii="Verdana" w:hAnsi="Verdana"/>
          <w:sz w:val="20"/>
          <w:szCs w:val="20"/>
          <w:lang w:val="es-CR"/>
        </w:rPr>
        <w:t xml:space="preserve">. Dicha audiencia </w:t>
      </w:r>
      <w:r w:rsidR="000972CF" w:rsidRPr="00474DE4">
        <w:rPr>
          <w:rFonts w:ascii="Verdana" w:hAnsi="Verdana"/>
          <w:sz w:val="20"/>
          <w:szCs w:val="20"/>
          <w:lang w:val="es-CR"/>
        </w:rPr>
        <w:t xml:space="preserve">fue trasmitida en vivo en el sitio web </w:t>
      </w:r>
      <w:r w:rsidR="00275C21">
        <w:rPr>
          <w:rFonts w:ascii="Verdana" w:hAnsi="Verdana"/>
          <w:sz w:val="20"/>
          <w:szCs w:val="20"/>
          <w:lang w:val="es-CR"/>
        </w:rPr>
        <w:t>de la Corte, y su</w:t>
      </w:r>
      <w:r w:rsidR="000972CF" w:rsidRPr="00474DE4">
        <w:rPr>
          <w:rFonts w:ascii="Verdana" w:hAnsi="Verdana"/>
          <w:sz w:val="20"/>
          <w:szCs w:val="20"/>
          <w:lang w:val="es-CR"/>
        </w:rPr>
        <w:t xml:space="preserve"> grabación permanece disponible en </w:t>
      </w:r>
      <w:r w:rsidR="00970ACA">
        <w:rPr>
          <w:rFonts w:ascii="Verdana" w:hAnsi="Verdana"/>
          <w:sz w:val="20"/>
          <w:szCs w:val="20"/>
          <w:lang w:val="es-CR"/>
        </w:rPr>
        <w:t>la</w:t>
      </w:r>
      <w:r w:rsidR="00970ACA" w:rsidRPr="00474DE4">
        <w:rPr>
          <w:rFonts w:ascii="Verdana" w:hAnsi="Verdana"/>
          <w:sz w:val="20"/>
          <w:szCs w:val="20"/>
          <w:lang w:val="es-CR"/>
        </w:rPr>
        <w:t xml:space="preserve"> </w:t>
      </w:r>
      <w:r w:rsidR="000972CF" w:rsidRPr="00474DE4">
        <w:rPr>
          <w:rFonts w:ascii="Verdana" w:hAnsi="Verdana"/>
          <w:sz w:val="20"/>
          <w:szCs w:val="20"/>
          <w:lang w:val="es-CR"/>
        </w:rPr>
        <w:t>página web</w:t>
      </w:r>
      <w:r w:rsidR="00970ACA">
        <w:rPr>
          <w:rFonts w:ascii="Verdana" w:hAnsi="Verdana"/>
          <w:sz w:val="20"/>
          <w:szCs w:val="20"/>
          <w:lang w:val="es-CR"/>
        </w:rPr>
        <w:t xml:space="preserve"> del Tribunal</w:t>
      </w:r>
      <w:r w:rsidR="00BF64F2">
        <w:rPr>
          <w:rStyle w:val="FootnoteReference"/>
          <w:rFonts w:ascii="Verdana" w:hAnsi="Verdana"/>
          <w:sz w:val="20"/>
          <w:szCs w:val="20"/>
          <w:lang w:val="es-CR"/>
        </w:rPr>
        <w:footnoteReference w:id="5"/>
      </w:r>
      <w:r w:rsidR="000972CF" w:rsidRPr="00474DE4">
        <w:rPr>
          <w:rFonts w:ascii="Verdana" w:hAnsi="Verdana"/>
          <w:sz w:val="20"/>
          <w:szCs w:val="20"/>
          <w:lang w:val="es-CR"/>
        </w:rPr>
        <w:t xml:space="preserve">. </w:t>
      </w:r>
    </w:p>
    <w:p w:rsidR="00884202" w:rsidRPr="00474DE4" w:rsidRDefault="00884202" w:rsidP="00035F49">
      <w:pPr>
        <w:pStyle w:val="ListParagraph"/>
        <w:ind w:left="0"/>
        <w:rPr>
          <w:rFonts w:ascii="Verdana" w:hAnsi="Verdana"/>
          <w:sz w:val="20"/>
          <w:szCs w:val="20"/>
          <w:lang w:val="es-CR"/>
        </w:rPr>
      </w:pPr>
    </w:p>
    <w:p w:rsidR="00884202" w:rsidRPr="004A69BB" w:rsidRDefault="00FF08D5" w:rsidP="004A69BB">
      <w:pPr>
        <w:pStyle w:val="ListParagraph"/>
        <w:numPr>
          <w:ilvl w:val="0"/>
          <w:numId w:val="2"/>
        </w:numPr>
        <w:spacing w:after="0" w:line="240" w:lineRule="auto"/>
        <w:jc w:val="both"/>
        <w:rPr>
          <w:rFonts w:ascii="Verdana" w:hAnsi="Verdana"/>
          <w:sz w:val="20"/>
          <w:szCs w:val="20"/>
          <w:lang w:val="es-CR"/>
        </w:rPr>
      </w:pPr>
      <w:r w:rsidRPr="004A69BB">
        <w:rPr>
          <w:rFonts w:ascii="Verdana" w:hAnsi="Verdana"/>
          <w:sz w:val="20"/>
          <w:szCs w:val="20"/>
          <w:lang w:val="es-CR"/>
        </w:rPr>
        <w:t>En vista de la amplia difusión que se ha dado a los hechos de este caso</w:t>
      </w:r>
      <w:r w:rsidR="009B3916" w:rsidRPr="004A69BB">
        <w:rPr>
          <w:rFonts w:ascii="Verdana" w:hAnsi="Verdana"/>
          <w:sz w:val="20"/>
          <w:szCs w:val="20"/>
          <w:lang w:val="es-CR"/>
        </w:rPr>
        <w:t>,</w:t>
      </w:r>
      <w:r w:rsidRPr="004A69BB">
        <w:rPr>
          <w:rFonts w:ascii="Verdana" w:hAnsi="Verdana"/>
          <w:sz w:val="20"/>
          <w:szCs w:val="20"/>
          <w:lang w:val="es-CR"/>
        </w:rPr>
        <w:t xml:space="preserve"> inclusive a la identidad de las presuntas víctimas y</w:t>
      </w:r>
      <w:r w:rsidR="004A69BB" w:rsidRPr="004A69BB">
        <w:rPr>
          <w:rFonts w:ascii="Verdana" w:hAnsi="Verdana"/>
          <w:sz w:val="20"/>
          <w:szCs w:val="20"/>
          <w:lang w:val="es-CR"/>
        </w:rPr>
        <w:t xml:space="preserve"> de</w:t>
      </w:r>
      <w:r w:rsidRPr="004A69BB">
        <w:rPr>
          <w:rFonts w:ascii="Verdana" w:hAnsi="Verdana"/>
          <w:sz w:val="20"/>
          <w:szCs w:val="20"/>
          <w:lang w:val="es-CR"/>
        </w:rPr>
        <w:t xml:space="preserve"> sus familiares</w:t>
      </w:r>
      <w:r w:rsidR="004A69BB" w:rsidRPr="004A69BB">
        <w:rPr>
          <w:rFonts w:ascii="Verdana" w:hAnsi="Verdana"/>
          <w:sz w:val="20"/>
          <w:szCs w:val="20"/>
          <w:lang w:val="es-CR"/>
        </w:rPr>
        <w:t xml:space="preserve">, </w:t>
      </w:r>
      <w:r w:rsidR="009B3916" w:rsidRPr="004A69BB">
        <w:rPr>
          <w:rFonts w:ascii="Verdana" w:hAnsi="Verdana"/>
          <w:sz w:val="20"/>
          <w:szCs w:val="20"/>
          <w:lang w:val="es-CR"/>
        </w:rPr>
        <w:t>la Corte considera</w:t>
      </w:r>
      <w:r w:rsidR="00362F2E" w:rsidRPr="004A69BB">
        <w:rPr>
          <w:rFonts w:ascii="Verdana" w:hAnsi="Verdana"/>
          <w:sz w:val="20"/>
          <w:szCs w:val="20"/>
          <w:lang w:val="es-CR"/>
        </w:rPr>
        <w:t xml:space="preserve"> que la solicitud</w:t>
      </w:r>
      <w:r w:rsidR="00501885" w:rsidRPr="004A69BB">
        <w:rPr>
          <w:rFonts w:ascii="Verdana" w:hAnsi="Verdana"/>
          <w:sz w:val="20"/>
          <w:szCs w:val="20"/>
          <w:lang w:val="es-CR"/>
        </w:rPr>
        <w:t xml:space="preserve"> de reserva de identidad</w:t>
      </w:r>
      <w:r w:rsidR="00362F2E" w:rsidRPr="004A69BB">
        <w:rPr>
          <w:rFonts w:ascii="Verdana" w:hAnsi="Verdana"/>
          <w:sz w:val="20"/>
          <w:szCs w:val="20"/>
          <w:lang w:val="es-CR"/>
        </w:rPr>
        <w:t xml:space="preserve"> interpuest</w:t>
      </w:r>
      <w:r w:rsidR="00501885" w:rsidRPr="004A69BB">
        <w:rPr>
          <w:rFonts w:ascii="Verdana" w:hAnsi="Verdana"/>
          <w:sz w:val="20"/>
          <w:szCs w:val="20"/>
          <w:lang w:val="es-CR"/>
        </w:rPr>
        <w:t xml:space="preserve">a por Saúl Roldán Cajal </w:t>
      </w:r>
      <w:r w:rsidR="00A646A7">
        <w:rPr>
          <w:rFonts w:ascii="Verdana" w:hAnsi="Verdana"/>
          <w:sz w:val="20"/>
          <w:szCs w:val="20"/>
          <w:lang w:val="es-CR"/>
        </w:rPr>
        <w:t xml:space="preserve">resulta </w:t>
      </w:r>
      <w:r w:rsidR="00A97359">
        <w:rPr>
          <w:rFonts w:ascii="Verdana" w:hAnsi="Verdana"/>
          <w:sz w:val="20"/>
          <w:szCs w:val="20"/>
          <w:lang w:val="es-CR"/>
        </w:rPr>
        <w:t>ineficaz.</w:t>
      </w:r>
      <w:r w:rsidR="00783F5F">
        <w:rPr>
          <w:rFonts w:ascii="Verdana" w:hAnsi="Verdana"/>
          <w:sz w:val="20"/>
          <w:szCs w:val="20"/>
          <w:lang w:val="es-CR"/>
        </w:rPr>
        <w:t xml:space="preserve"> Por tanto, el Tribunal desestima dicha solicitud. </w:t>
      </w:r>
    </w:p>
    <w:p w:rsidR="009C1C73" w:rsidRPr="00474DE4" w:rsidRDefault="009C1C73" w:rsidP="009C1C73">
      <w:pPr>
        <w:pStyle w:val="ListParagraph"/>
        <w:spacing w:after="0" w:line="240" w:lineRule="auto"/>
        <w:ind w:left="0"/>
        <w:jc w:val="both"/>
        <w:rPr>
          <w:rFonts w:ascii="Verdana" w:hAnsi="Verdana"/>
          <w:sz w:val="20"/>
          <w:szCs w:val="20"/>
          <w:lang w:val="es-CR"/>
        </w:rPr>
      </w:pPr>
    </w:p>
    <w:p w:rsidR="00384165" w:rsidRPr="00474DE4" w:rsidRDefault="001033A3" w:rsidP="00384165">
      <w:pPr>
        <w:pStyle w:val="ListParagraph"/>
        <w:spacing w:after="0"/>
        <w:ind w:left="0"/>
        <w:jc w:val="both"/>
        <w:rPr>
          <w:rFonts w:ascii="Verdana" w:hAnsi="Verdana"/>
          <w:b/>
          <w:sz w:val="20"/>
          <w:szCs w:val="20"/>
        </w:rPr>
      </w:pPr>
      <w:r>
        <w:rPr>
          <w:rFonts w:ascii="Verdana" w:hAnsi="Verdana"/>
          <w:b/>
          <w:sz w:val="20"/>
          <w:szCs w:val="20"/>
        </w:rPr>
        <w:t>POR TANTO:</w:t>
      </w:r>
    </w:p>
    <w:p w:rsidR="00384165" w:rsidRPr="00474DE4" w:rsidRDefault="00384165" w:rsidP="00384165">
      <w:pPr>
        <w:pStyle w:val="ListParagraph"/>
        <w:spacing w:after="0"/>
        <w:ind w:left="0"/>
        <w:jc w:val="both"/>
        <w:rPr>
          <w:rFonts w:ascii="Verdana" w:hAnsi="Verdana"/>
          <w:b/>
          <w:sz w:val="20"/>
          <w:szCs w:val="20"/>
        </w:rPr>
      </w:pPr>
    </w:p>
    <w:p w:rsidR="00384165" w:rsidRPr="00474DE4" w:rsidRDefault="00384165" w:rsidP="00384165">
      <w:pPr>
        <w:pStyle w:val="ListParagraph"/>
        <w:spacing w:after="0"/>
        <w:ind w:left="0"/>
        <w:jc w:val="both"/>
        <w:rPr>
          <w:rFonts w:ascii="Verdana" w:hAnsi="Verdana"/>
          <w:b/>
          <w:sz w:val="20"/>
          <w:szCs w:val="20"/>
          <w:lang w:val="es-ES"/>
        </w:rPr>
      </w:pPr>
      <w:r w:rsidRPr="00474DE4">
        <w:rPr>
          <w:rFonts w:ascii="Verdana" w:hAnsi="Verdana"/>
          <w:b/>
          <w:sz w:val="20"/>
          <w:szCs w:val="20"/>
          <w:lang w:val="es-ES"/>
        </w:rPr>
        <w:t>LA CORTE INTERAMERICANA DE DERECHOS HUMANOS,</w:t>
      </w:r>
    </w:p>
    <w:p w:rsidR="00474DE4" w:rsidRPr="00474DE4" w:rsidRDefault="00474DE4" w:rsidP="00474DE4">
      <w:pPr>
        <w:pStyle w:val="ListParagraph"/>
        <w:spacing w:after="0"/>
        <w:ind w:left="0"/>
        <w:jc w:val="both"/>
        <w:rPr>
          <w:rFonts w:ascii="Verdana" w:hAnsi="Verdana"/>
          <w:sz w:val="20"/>
          <w:szCs w:val="20"/>
          <w:lang w:val="es-ES"/>
        </w:rPr>
      </w:pPr>
    </w:p>
    <w:p w:rsidR="00384165" w:rsidRDefault="00384165" w:rsidP="00474DE4">
      <w:pPr>
        <w:pStyle w:val="ListParagraph"/>
        <w:spacing w:after="0"/>
        <w:ind w:left="0"/>
        <w:jc w:val="both"/>
        <w:rPr>
          <w:rFonts w:ascii="Verdana" w:hAnsi="Verdana"/>
          <w:sz w:val="20"/>
          <w:szCs w:val="20"/>
          <w:lang w:val="es-ES"/>
        </w:rPr>
      </w:pPr>
      <w:r w:rsidRPr="00474DE4">
        <w:rPr>
          <w:rFonts w:ascii="Verdana" w:hAnsi="Verdana"/>
          <w:sz w:val="20"/>
          <w:szCs w:val="20"/>
          <w:lang w:val="es-ES"/>
        </w:rPr>
        <w:t xml:space="preserve">De conformidad con </w:t>
      </w:r>
      <w:r w:rsidR="003D4223">
        <w:rPr>
          <w:rFonts w:ascii="Verdana" w:hAnsi="Verdana"/>
          <w:sz w:val="20"/>
          <w:szCs w:val="20"/>
          <w:lang w:val="es-ES"/>
        </w:rPr>
        <w:t>el artículo</w:t>
      </w:r>
      <w:r w:rsidRPr="00474DE4">
        <w:rPr>
          <w:rFonts w:ascii="Verdana" w:hAnsi="Verdana"/>
          <w:sz w:val="20"/>
          <w:szCs w:val="20"/>
          <w:lang w:val="es-ES"/>
        </w:rPr>
        <w:t xml:space="preserve"> 62.3 de la Convención Americana</w:t>
      </w:r>
      <w:r w:rsidR="00474DE4">
        <w:rPr>
          <w:rFonts w:ascii="Verdana" w:hAnsi="Verdana"/>
          <w:sz w:val="20"/>
          <w:szCs w:val="20"/>
          <w:lang w:val="es-ES"/>
        </w:rPr>
        <w:t xml:space="preserve"> sobre Derechos Humanos</w:t>
      </w:r>
      <w:r w:rsidRPr="00474DE4">
        <w:rPr>
          <w:rFonts w:ascii="Verdana" w:hAnsi="Verdana"/>
          <w:sz w:val="20"/>
          <w:szCs w:val="20"/>
          <w:lang w:val="es-ES"/>
        </w:rPr>
        <w:t>, el artículo 24.3 del Estatuto de la Corte y el artículo 1.3 de su Reglamento,</w:t>
      </w:r>
    </w:p>
    <w:p w:rsidR="00C44B27" w:rsidRPr="00474DE4" w:rsidRDefault="00C44B27" w:rsidP="00384165">
      <w:pPr>
        <w:pStyle w:val="ListParagraph"/>
        <w:spacing w:after="0"/>
        <w:ind w:left="0"/>
        <w:jc w:val="both"/>
        <w:rPr>
          <w:rFonts w:ascii="Verdana" w:hAnsi="Verdana"/>
          <w:b/>
          <w:smallCaps/>
          <w:sz w:val="20"/>
          <w:szCs w:val="20"/>
          <w:lang w:val="es-ES"/>
        </w:rPr>
      </w:pPr>
    </w:p>
    <w:p w:rsidR="00384165" w:rsidRPr="00CB0251" w:rsidRDefault="00384165" w:rsidP="00384165">
      <w:pPr>
        <w:pStyle w:val="ListParagraph"/>
        <w:spacing w:after="0"/>
        <w:ind w:left="0"/>
        <w:jc w:val="both"/>
        <w:rPr>
          <w:rFonts w:ascii="Verdana" w:hAnsi="Verdana"/>
          <w:b/>
          <w:sz w:val="20"/>
          <w:szCs w:val="20"/>
          <w:lang w:val="es-ES"/>
        </w:rPr>
      </w:pPr>
      <w:r w:rsidRPr="00CB0251">
        <w:rPr>
          <w:rFonts w:ascii="Verdana" w:hAnsi="Verdana"/>
          <w:b/>
          <w:sz w:val="20"/>
          <w:szCs w:val="20"/>
          <w:lang w:val="es-ES"/>
        </w:rPr>
        <w:t>RESUELVE:</w:t>
      </w:r>
    </w:p>
    <w:p w:rsidR="00C44B27" w:rsidRDefault="00C44B27" w:rsidP="00384165">
      <w:pPr>
        <w:pStyle w:val="ListParagraph"/>
        <w:spacing w:after="0"/>
        <w:ind w:left="0"/>
        <w:jc w:val="both"/>
        <w:rPr>
          <w:rFonts w:ascii="Verdana" w:hAnsi="Verdana"/>
          <w:sz w:val="20"/>
          <w:szCs w:val="20"/>
          <w:lang w:val="es-GT"/>
        </w:rPr>
      </w:pPr>
    </w:p>
    <w:p w:rsidR="00C44B27" w:rsidRDefault="00C44B27" w:rsidP="00384165">
      <w:pPr>
        <w:pStyle w:val="ListParagraph"/>
        <w:spacing w:after="0"/>
        <w:ind w:left="0"/>
        <w:jc w:val="both"/>
        <w:rPr>
          <w:rFonts w:ascii="Verdana" w:hAnsi="Verdana"/>
          <w:sz w:val="20"/>
          <w:szCs w:val="20"/>
          <w:lang w:val="es-GT"/>
        </w:rPr>
      </w:pPr>
      <w:bookmarkStart w:id="0" w:name="_GoBack"/>
      <w:bookmarkEnd w:id="0"/>
      <w:r w:rsidRPr="00CB0251">
        <w:rPr>
          <w:rFonts w:ascii="Verdana" w:hAnsi="Verdana"/>
          <w:sz w:val="20"/>
          <w:szCs w:val="20"/>
          <w:lang w:val="es-GT"/>
        </w:rPr>
        <w:t>Por cuatro votos contra uno,</w:t>
      </w:r>
      <w:r>
        <w:rPr>
          <w:rFonts w:ascii="Verdana" w:hAnsi="Verdana"/>
          <w:sz w:val="20"/>
          <w:szCs w:val="20"/>
          <w:lang w:val="es-GT"/>
        </w:rPr>
        <w:t xml:space="preserve"> </w:t>
      </w:r>
    </w:p>
    <w:p w:rsidR="00C44B27" w:rsidRPr="00C44B27" w:rsidRDefault="00C44B27" w:rsidP="00384165">
      <w:pPr>
        <w:pStyle w:val="ListParagraph"/>
        <w:spacing w:after="0"/>
        <w:ind w:left="0"/>
        <w:jc w:val="both"/>
        <w:rPr>
          <w:rFonts w:ascii="Verdana" w:hAnsi="Verdana"/>
          <w:sz w:val="20"/>
          <w:szCs w:val="20"/>
          <w:lang w:val="es-GT"/>
        </w:rPr>
      </w:pPr>
    </w:p>
    <w:p w:rsidR="00035F49" w:rsidRDefault="00747DD1" w:rsidP="00F13F0A">
      <w:pPr>
        <w:pStyle w:val="ListParagraph"/>
        <w:numPr>
          <w:ilvl w:val="0"/>
          <w:numId w:val="3"/>
        </w:numPr>
        <w:spacing w:after="0" w:line="240" w:lineRule="auto"/>
        <w:ind w:left="0" w:firstLine="0"/>
        <w:jc w:val="both"/>
        <w:rPr>
          <w:rFonts w:ascii="Verdana" w:hAnsi="Verdana"/>
          <w:sz w:val="20"/>
          <w:szCs w:val="20"/>
          <w:lang w:val="es-ES"/>
        </w:rPr>
      </w:pPr>
      <w:r w:rsidRPr="00747DD1">
        <w:rPr>
          <w:rFonts w:ascii="Verdana" w:hAnsi="Verdana"/>
          <w:sz w:val="20"/>
          <w:szCs w:val="20"/>
          <w:lang w:val="es-ES"/>
        </w:rPr>
        <w:t>De</w:t>
      </w:r>
      <w:r w:rsidR="0052720E">
        <w:rPr>
          <w:rFonts w:ascii="Verdana" w:hAnsi="Verdana"/>
          <w:sz w:val="20"/>
          <w:szCs w:val="20"/>
          <w:lang w:val="es-ES"/>
        </w:rPr>
        <w:t>sestimar la solicitud de reserva</w:t>
      </w:r>
      <w:r w:rsidRPr="00747DD1">
        <w:rPr>
          <w:rFonts w:ascii="Verdana" w:hAnsi="Verdana"/>
          <w:sz w:val="20"/>
          <w:szCs w:val="20"/>
          <w:lang w:val="es-ES"/>
        </w:rPr>
        <w:t xml:space="preserve"> de identidad de Sa</w:t>
      </w:r>
      <w:r>
        <w:rPr>
          <w:rFonts w:ascii="Verdana" w:hAnsi="Verdana"/>
          <w:sz w:val="20"/>
          <w:szCs w:val="20"/>
          <w:lang w:val="es-ES"/>
        </w:rPr>
        <w:t xml:space="preserve">úl Roldán Cajal. </w:t>
      </w:r>
    </w:p>
    <w:p w:rsidR="000F09E6" w:rsidRDefault="000F09E6" w:rsidP="00F13F0A">
      <w:pPr>
        <w:pStyle w:val="ListParagraph"/>
        <w:spacing w:after="0" w:line="240" w:lineRule="auto"/>
        <w:ind w:left="0"/>
        <w:jc w:val="both"/>
        <w:rPr>
          <w:rFonts w:ascii="Verdana" w:hAnsi="Verdana"/>
          <w:sz w:val="20"/>
          <w:szCs w:val="20"/>
          <w:lang w:val="es-ES"/>
        </w:rPr>
      </w:pPr>
    </w:p>
    <w:p w:rsidR="000F09E6" w:rsidRPr="000F09E6" w:rsidRDefault="000F09E6" w:rsidP="00F13F0A">
      <w:pPr>
        <w:pStyle w:val="ListParagraph"/>
        <w:numPr>
          <w:ilvl w:val="0"/>
          <w:numId w:val="3"/>
        </w:numPr>
        <w:spacing w:after="0" w:line="240" w:lineRule="auto"/>
        <w:ind w:left="0" w:firstLine="0"/>
        <w:jc w:val="both"/>
        <w:rPr>
          <w:rFonts w:ascii="Verdana" w:hAnsi="Verdana"/>
          <w:sz w:val="20"/>
          <w:lang w:val="es-ES"/>
        </w:rPr>
      </w:pPr>
      <w:r w:rsidRPr="000F09E6">
        <w:rPr>
          <w:rFonts w:ascii="Verdana" w:hAnsi="Verdana"/>
          <w:sz w:val="20"/>
          <w:lang w:val="es-ES"/>
        </w:rPr>
        <w:t xml:space="preserve">Disponer que la </w:t>
      </w:r>
      <w:r w:rsidRPr="000F09E6">
        <w:rPr>
          <w:rFonts w:ascii="Verdana" w:hAnsi="Verdana"/>
          <w:sz w:val="20"/>
          <w:szCs w:val="20"/>
          <w:lang w:val="es-ES"/>
        </w:rPr>
        <w:t>Secretaría</w:t>
      </w:r>
      <w:r w:rsidRPr="000F09E6">
        <w:rPr>
          <w:rFonts w:ascii="Verdana" w:hAnsi="Verdana"/>
          <w:sz w:val="20"/>
          <w:lang w:val="es-ES"/>
        </w:rPr>
        <w:t xml:space="preserve"> de la Corte notifique la presente Resolución a </w:t>
      </w:r>
      <w:r w:rsidR="000C3AFB">
        <w:rPr>
          <w:rFonts w:ascii="Verdana" w:hAnsi="Verdana"/>
          <w:sz w:val="20"/>
          <w:lang w:val="es-ES"/>
        </w:rPr>
        <w:t>la</w:t>
      </w:r>
      <w:r w:rsidRPr="000F09E6">
        <w:rPr>
          <w:rFonts w:ascii="Verdana" w:hAnsi="Verdana"/>
          <w:sz w:val="20"/>
          <w:lang w:val="es-ES"/>
        </w:rPr>
        <w:t xml:space="preserve"> representante de las presuntas víctimas, </w:t>
      </w:r>
      <w:r w:rsidR="00970ACA">
        <w:rPr>
          <w:rFonts w:ascii="Verdana" w:hAnsi="Verdana"/>
          <w:sz w:val="20"/>
          <w:lang w:val="es-ES"/>
        </w:rPr>
        <w:t>a la República Argentina</w:t>
      </w:r>
      <w:r w:rsidRPr="000F09E6">
        <w:rPr>
          <w:rFonts w:ascii="Verdana" w:hAnsi="Verdana"/>
          <w:sz w:val="20"/>
          <w:lang w:val="es-ES"/>
        </w:rPr>
        <w:t xml:space="preserve"> y a la Comisión Interamericana</w:t>
      </w:r>
      <w:r w:rsidR="000450A0">
        <w:rPr>
          <w:rFonts w:ascii="Verdana" w:hAnsi="Verdana"/>
          <w:sz w:val="20"/>
          <w:lang w:val="es-ES"/>
        </w:rPr>
        <w:t xml:space="preserve"> de Derechos Humanos</w:t>
      </w:r>
      <w:r w:rsidRPr="000F09E6">
        <w:rPr>
          <w:rFonts w:ascii="Verdana" w:hAnsi="Verdana"/>
          <w:sz w:val="20"/>
          <w:lang w:val="es-ES"/>
        </w:rPr>
        <w:t>.</w:t>
      </w:r>
    </w:p>
    <w:p w:rsidR="000F09E6" w:rsidRDefault="000F09E6" w:rsidP="00F13F0A">
      <w:pPr>
        <w:pStyle w:val="ListParagraph"/>
        <w:spacing w:after="0" w:line="240" w:lineRule="auto"/>
        <w:ind w:left="0"/>
        <w:jc w:val="both"/>
        <w:rPr>
          <w:rFonts w:ascii="Verdana" w:hAnsi="Verdana"/>
          <w:sz w:val="20"/>
          <w:szCs w:val="20"/>
          <w:lang w:val="es-ES"/>
        </w:rPr>
      </w:pPr>
    </w:p>
    <w:p w:rsidR="008C4327" w:rsidRPr="00747DD1" w:rsidRDefault="008C4327" w:rsidP="00F13F0A">
      <w:pPr>
        <w:pStyle w:val="ListParagraph"/>
        <w:spacing w:after="0" w:line="240" w:lineRule="auto"/>
        <w:ind w:left="0"/>
        <w:jc w:val="both"/>
        <w:rPr>
          <w:rFonts w:ascii="Verdana" w:hAnsi="Verdana"/>
          <w:sz w:val="20"/>
          <w:szCs w:val="20"/>
          <w:lang w:val="es-ES"/>
        </w:rPr>
      </w:pPr>
    </w:p>
    <w:p w:rsidR="00904A28" w:rsidRDefault="003F64EA" w:rsidP="003F64EA">
      <w:pPr>
        <w:pStyle w:val="ListParagraph"/>
        <w:spacing w:after="0"/>
        <w:ind w:left="0"/>
        <w:jc w:val="both"/>
        <w:rPr>
          <w:rFonts w:ascii="Verdana" w:hAnsi="Verdana"/>
          <w:sz w:val="20"/>
          <w:szCs w:val="20"/>
          <w:lang w:val="es-ES"/>
        </w:rPr>
      </w:pPr>
      <w:r>
        <w:rPr>
          <w:rFonts w:ascii="Verdana" w:hAnsi="Verdana"/>
          <w:sz w:val="20"/>
          <w:szCs w:val="20"/>
          <w:lang w:val="es-ES"/>
        </w:rPr>
        <w:t>La</w:t>
      </w:r>
      <w:r w:rsidRPr="003F64EA">
        <w:rPr>
          <w:rFonts w:ascii="Verdana" w:hAnsi="Verdana"/>
          <w:sz w:val="20"/>
          <w:szCs w:val="20"/>
          <w:lang w:val="es-ES"/>
        </w:rPr>
        <w:t xml:space="preserve"> Juez</w:t>
      </w:r>
      <w:r>
        <w:rPr>
          <w:rFonts w:ascii="Verdana" w:hAnsi="Verdana"/>
          <w:sz w:val="20"/>
          <w:szCs w:val="20"/>
          <w:lang w:val="es-ES"/>
        </w:rPr>
        <w:t>a</w:t>
      </w:r>
      <w:r w:rsidRPr="003F64EA">
        <w:rPr>
          <w:rFonts w:ascii="Verdana" w:hAnsi="Verdana"/>
          <w:sz w:val="20"/>
          <w:szCs w:val="20"/>
          <w:lang w:val="es-ES"/>
        </w:rPr>
        <w:t xml:space="preserve"> Margarette </w:t>
      </w:r>
      <w:proofErr w:type="spellStart"/>
      <w:r w:rsidRPr="003F64EA">
        <w:rPr>
          <w:rFonts w:ascii="Verdana" w:hAnsi="Verdana"/>
          <w:sz w:val="20"/>
          <w:szCs w:val="20"/>
          <w:lang w:val="es-ES"/>
        </w:rPr>
        <w:t>May</w:t>
      </w:r>
      <w:proofErr w:type="spellEnd"/>
      <w:r w:rsidRPr="003F64EA">
        <w:rPr>
          <w:rFonts w:ascii="Verdana" w:hAnsi="Verdana"/>
          <w:sz w:val="20"/>
          <w:szCs w:val="20"/>
          <w:lang w:val="es-ES"/>
        </w:rPr>
        <w:t xml:space="preserve"> </w:t>
      </w:r>
      <w:proofErr w:type="spellStart"/>
      <w:r w:rsidRPr="003F64EA">
        <w:rPr>
          <w:rFonts w:ascii="Verdana" w:hAnsi="Verdana"/>
          <w:sz w:val="20"/>
          <w:szCs w:val="20"/>
          <w:lang w:val="es-ES"/>
        </w:rPr>
        <w:t>Macaulay</w:t>
      </w:r>
      <w:proofErr w:type="spellEnd"/>
      <w:r w:rsidRPr="003F64EA">
        <w:rPr>
          <w:rFonts w:ascii="Verdana" w:hAnsi="Verdana"/>
          <w:sz w:val="20"/>
          <w:szCs w:val="20"/>
          <w:lang w:val="es-ES"/>
        </w:rPr>
        <w:t xml:space="preserve"> hizo conocer a la Corte su Voto </w:t>
      </w:r>
      <w:r>
        <w:rPr>
          <w:rFonts w:ascii="Verdana" w:hAnsi="Verdana"/>
          <w:sz w:val="20"/>
          <w:szCs w:val="20"/>
          <w:lang w:val="es-ES"/>
        </w:rPr>
        <w:t>Disidente</w:t>
      </w:r>
      <w:r w:rsidRPr="003F64EA">
        <w:rPr>
          <w:rFonts w:ascii="Verdana" w:hAnsi="Verdana"/>
          <w:sz w:val="20"/>
          <w:szCs w:val="20"/>
          <w:lang w:val="es-ES"/>
        </w:rPr>
        <w:t>, el cual acompaña la presente Resolución.</w:t>
      </w:r>
    </w:p>
    <w:p w:rsidR="007C1FAC" w:rsidRDefault="007C1FAC">
      <w:pPr>
        <w:rPr>
          <w:rFonts w:ascii="Verdana" w:hAnsi="Verdana"/>
          <w:sz w:val="20"/>
          <w:szCs w:val="20"/>
          <w:lang w:val="es-ES"/>
        </w:rPr>
      </w:pPr>
      <w:r>
        <w:rPr>
          <w:rFonts w:ascii="Verdana" w:hAnsi="Verdana"/>
          <w:sz w:val="20"/>
          <w:szCs w:val="20"/>
          <w:lang w:val="es-ES"/>
        </w:rPr>
        <w:br w:type="page"/>
      </w:r>
    </w:p>
    <w:p w:rsidR="007C1FAC" w:rsidRPr="00C8374B" w:rsidRDefault="007C1FAC" w:rsidP="007C1FAC">
      <w:pPr>
        <w:jc w:val="center"/>
        <w:rPr>
          <w:rFonts w:ascii="Verdana" w:eastAsia="Calibri" w:hAnsi="Verdana" w:cs="Times New Roman"/>
          <w:sz w:val="20"/>
          <w:lang w:val="es-ES"/>
        </w:rPr>
      </w:pPr>
    </w:p>
    <w:p w:rsidR="007C1FAC" w:rsidRPr="00C8374B" w:rsidRDefault="007C1FAC" w:rsidP="007C1FAC">
      <w:pPr>
        <w:jc w:val="center"/>
        <w:rPr>
          <w:rFonts w:ascii="Verdana" w:eastAsia="Calibri" w:hAnsi="Verdana" w:cs="Times New Roman"/>
          <w:sz w:val="20"/>
          <w:lang w:val="es-ES"/>
        </w:rPr>
      </w:pPr>
    </w:p>
    <w:p w:rsidR="007C1FAC" w:rsidRPr="00C8374B" w:rsidRDefault="007C1FAC" w:rsidP="007C1FAC">
      <w:pPr>
        <w:jc w:val="center"/>
        <w:rPr>
          <w:rFonts w:ascii="Verdana" w:eastAsia="Calibri" w:hAnsi="Verdana" w:cs="Times New Roman"/>
          <w:sz w:val="20"/>
          <w:lang w:val="es-ES"/>
        </w:rPr>
      </w:pPr>
    </w:p>
    <w:p w:rsidR="007C1FAC" w:rsidRPr="00C8374B" w:rsidRDefault="007C1FAC" w:rsidP="007C1FAC">
      <w:pPr>
        <w:jc w:val="center"/>
        <w:rPr>
          <w:rFonts w:ascii="Verdana" w:eastAsia="Calibri" w:hAnsi="Verdana" w:cs="Times New Roman"/>
          <w:sz w:val="20"/>
          <w:lang w:val="es-ES"/>
        </w:rPr>
      </w:pPr>
    </w:p>
    <w:p w:rsidR="007C1FAC" w:rsidRPr="00C8374B" w:rsidRDefault="007C1FAC" w:rsidP="007C1FAC">
      <w:pPr>
        <w:jc w:val="center"/>
        <w:rPr>
          <w:rFonts w:ascii="Verdana" w:eastAsia="Calibri" w:hAnsi="Verdana" w:cs="Times New Roman"/>
          <w:sz w:val="20"/>
          <w:lang w:val="es-ES"/>
        </w:rPr>
      </w:pPr>
    </w:p>
    <w:p w:rsidR="007C1FAC" w:rsidRPr="007C1FAC" w:rsidRDefault="007C1FAC" w:rsidP="007C1FAC">
      <w:pPr>
        <w:jc w:val="center"/>
        <w:rPr>
          <w:rFonts w:ascii="Verdana" w:eastAsia="Calibri" w:hAnsi="Verdana" w:cs="Times New Roman"/>
          <w:sz w:val="20"/>
          <w:lang w:val="es-MX"/>
        </w:rPr>
      </w:pPr>
      <w:r w:rsidRPr="007C1FAC">
        <w:rPr>
          <w:rFonts w:ascii="Verdana" w:eastAsia="Calibri" w:hAnsi="Verdana" w:cs="Times New Roman"/>
          <w:sz w:val="20"/>
          <w:lang w:val="es-MX"/>
        </w:rPr>
        <w:t>Diego García-Sayán</w:t>
      </w:r>
    </w:p>
    <w:p w:rsidR="007C1FAC" w:rsidRPr="007C1FAC" w:rsidRDefault="007C1FAC" w:rsidP="007C1FAC">
      <w:pPr>
        <w:jc w:val="center"/>
        <w:rPr>
          <w:rFonts w:ascii="Verdana" w:eastAsia="Calibri" w:hAnsi="Verdana" w:cs="Times New Roman"/>
          <w:sz w:val="20"/>
          <w:lang w:val="es-MX"/>
        </w:rPr>
      </w:pPr>
      <w:r w:rsidRPr="007C1FAC">
        <w:rPr>
          <w:rFonts w:ascii="Verdana" w:eastAsia="Calibri" w:hAnsi="Verdana" w:cs="Times New Roman"/>
          <w:sz w:val="20"/>
          <w:lang w:val="es-MX"/>
        </w:rPr>
        <w:t>Presidente</w:t>
      </w:r>
    </w:p>
    <w:p w:rsidR="007C1FAC" w:rsidRPr="007C1FAC" w:rsidRDefault="007C1FAC" w:rsidP="007C1FAC">
      <w:pPr>
        <w:jc w:val="center"/>
        <w:rPr>
          <w:rFonts w:ascii="Verdana" w:eastAsia="Calibri" w:hAnsi="Verdana" w:cs="Times New Roman"/>
          <w:sz w:val="20"/>
          <w:lang w:val="es-MX"/>
        </w:rPr>
      </w:pPr>
    </w:p>
    <w:p w:rsidR="007C1FAC" w:rsidRPr="007C1FAC" w:rsidRDefault="007C1FAC" w:rsidP="007C1FAC">
      <w:pPr>
        <w:jc w:val="both"/>
        <w:rPr>
          <w:rFonts w:ascii="Verdana" w:eastAsia="Calibri" w:hAnsi="Verdana" w:cs="Times New Roman"/>
          <w:sz w:val="20"/>
          <w:lang w:val="es-MX"/>
        </w:rPr>
      </w:pPr>
    </w:p>
    <w:p w:rsidR="007C1FAC" w:rsidRPr="007C1FAC" w:rsidRDefault="007C1FAC" w:rsidP="007C1FAC">
      <w:pPr>
        <w:jc w:val="both"/>
        <w:rPr>
          <w:rFonts w:ascii="Verdana" w:eastAsia="Calibri" w:hAnsi="Verdana" w:cs="Times New Roman"/>
          <w:sz w:val="20"/>
          <w:lang w:val="es-MX"/>
        </w:rPr>
      </w:pPr>
    </w:p>
    <w:p w:rsidR="007C1FAC" w:rsidRPr="007C1FAC" w:rsidRDefault="007C1FAC" w:rsidP="007C1FAC">
      <w:pPr>
        <w:jc w:val="both"/>
        <w:rPr>
          <w:rFonts w:ascii="Verdana" w:eastAsia="Calibri" w:hAnsi="Verdana" w:cs="Times New Roman"/>
          <w:sz w:val="20"/>
          <w:lang w:val="es-MX"/>
        </w:rPr>
      </w:pPr>
    </w:p>
    <w:p w:rsidR="007C1FAC" w:rsidRPr="007C1FAC" w:rsidRDefault="007C1FAC" w:rsidP="007C1FAC">
      <w:pPr>
        <w:jc w:val="both"/>
        <w:rPr>
          <w:rFonts w:ascii="Verdana" w:eastAsia="Calibri" w:hAnsi="Verdana" w:cs="Times New Roman"/>
          <w:sz w:val="20"/>
          <w:lang w:val="es-MX"/>
        </w:rPr>
      </w:pPr>
    </w:p>
    <w:p w:rsidR="007C1FAC" w:rsidRPr="005A3F61" w:rsidRDefault="007C1FAC" w:rsidP="007C1FAC">
      <w:pPr>
        <w:rPr>
          <w:rFonts w:ascii="Verdana" w:eastAsia="Calibri" w:hAnsi="Verdana" w:cs="Times New Roman"/>
          <w:sz w:val="20"/>
          <w:lang w:val="pt-BR"/>
        </w:rPr>
      </w:pPr>
      <w:r w:rsidRPr="005A3F61">
        <w:rPr>
          <w:rFonts w:ascii="Verdana" w:eastAsia="Calibri" w:hAnsi="Verdana" w:cs="Times New Roman"/>
          <w:sz w:val="20"/>
          <w:lang w:val="pt-BR"/>
        </w:rPr>
        <w:t xml:space="preserve">Manuel Ventura Robles </w:t>
      </w:r>
      <w:r>
        <w:rPr>
          <w:rFonts w:ascii="Verdana" w:eastAsia="Calibri" w:hAnsi="Verdana" w:cs="Times New Roman"/>
          <w:sz w:val="20"/>
          <w:lang w:val="pt-BR"/>
        </w:rPr>
        <w:tab/>
      </w:r>
      <w:r>
        <w:rPr>
          <w:rFonts w:ascii="Verdana" w:eastAsia="Calibri" w:hAnsi="Verdana" w:cs="Times New Roman"/>
          <w:sz w:val="20"/>
          <w:lang w:val="pt-BR"/>
        </w:rPr>
        <w:tab/>
      </w:r>
      <w:r>
        <w:rPr>
          <w:rFonts w:ascii="Verdana" w:eastAsia="Calibri" w:hAnsi="Verdana" w:cs="Times New Roman"/>
          <w:sz w:val="20"/>
          <w:lang w:val="pt-BR"/>
        </w:rPr>
        <w:tab/>
      </w:r>
      <w:r>
        <w:rPr>
          <w:rFonts w:ascii="Verdana" w:eastAsia="Calibri" w:hAnsi="Verdana" w:cs="Times New Roman"/>
          <w:sz w:val="20"/>
          <w:lang w:val="pt-BR"/>
        </w:rPr>
        <w:tab/>
      </w:r>
      <w:r>
        <w:rPr>
          <w:rFonts w:ascii="Verdana" w:eastAsia="Calibri" w:hAnsi="Verdana" w:cs="Times New Roman"/>
          <w:sz w:val="20"/>
          <w:lang w:val="pt-BR"/>
        </w:rPr>
        <w:tab/>
      </w:r>
      <w:r w:rsidRPr="00994BD5">
        <w:rPr>
          <w:rFonts w:ascii="Verdana" w:eastAsia="Calibri" w:hAnsi="Verdana" w:cs="Times New Roman"/>
          <w:sz w:val="20"/>
          <w:lang w:val="es-ES"/>
        </w:rPr>
        <w:t xml:space="preserve">Margarette </w:t>
      </w:r>
      <w:proofErr w:type="spellStart"/>
      <w:r w:rsidRPr="00994BD5">
        <w:rPr>
          <w:rFonts w:ascii="Verdana" w:eastAsia="Calibri" w:hAnsi="Verdana" w:cs="Times New Roman"/>
          <w:sz w:val="20"/>
          <w:lang w:val="es-ES"/>
        </w:rPr>
        <w:t>May</w:t>
      </w:r>
      <w:proofErr w:type="spellEnd"/>
      <w:r w:rsidRPr="00994BD5">
        <w:rPr>
          <w:rFonts w:ascii="Verdana" w:eastAsia="Calibri" w:hAnsi="Verdana" w:cs="Times New Roman"/>
          <w:sz w:val="20"/>
          <w:lang w:val="es-ES"/>
        </w:rPr>
        <w:t xml:space="preserve"> </w:t>
      </w:r>
      <w:proofErr w:type="spellStart"/>
      <w:r w:rsidRPr="00994BD5">
        <w:rPr>
          <w:rFonts w:ascii="Verdana" w:eastAsia="Calibri" w:hAnsi="Verdana" w:cs="Times New Roman"/>
          <w:sz w:val="20"/>
          <w:lang w:val="es-ES"/>
        </w:rPr>
        <w:t>Macaulay</w:t>
      </w:r>
      <w:proofErr w:type="spellEnd"/>
      <w:r w:rsidRPr="005A3F61">
        <w:rPr>
          <w:rFonts w:ascii="Verdana" w:eastAsia="Calibri" w:hAnsi="Verdana" w:cs="Times New Roman"/>
          <w:sz w:val="20"/>
          <w:lang w:val="pt-BR"/>
        </w:rPr>
        <w:tab/>
      </w:r>
      <w:r w:rsidRPr="005A3F61">
        <w:rPr>
          <w:rFonts w:ascii="Verdana" w:eastAsia="Calibri" w:hAnsi="Verdana" w:cs="Times New Roman"/>
          <w:sz w:val="20"/>
          <w:lang w:val="pt-BR"/>
        </w:rPr>
        <w:tab/>
      </w:r>
      <w:r w:rsidRPr="005A3F61">
        <w:rPr>
          <w:rFonts w:ascii="Verdana" w:eastAsia="Calibri" w:hAnsi="Verdana" w:cs="Times New Roman"/>
          <w:sz w:val="20"/>
          <w:lang w:val="pt-BR"/>
        </w:rPr>
        <w:tab/>
      </w:r>
      <w:r w:rsidRPr="005A3F61">
        <w:rPr>
          <w:rFonts w:ascii="Verdana" w:eastAsia="Calibri" w:hAnsi="Verdana" w:cs="Times New Roman"/>
          <w:sz w:val="20"/>
          <w:lang w:val="pt-BR"/>
        </w:rPr>
        <w:tab/>
      </w:r>
      <w:r w:rsidRPr="005A3F61">
        <w:rPr>
          <w:rFonts w:ascii="Verdana" w:eastAsia="Calibri" w:hAnsi="Verdana" w:cs="Times New Roman"/>
          <w:sz w:val="20"/>
          <w:lang w:val="pt-BR"/>
        </w:rPr>
        <w:tab/>
      </w:r>
      <w:r w:rsidRPr="005A3F61">
        <w:rPr>
          <w:rFonts w:ascii="Verdana" w:eastAsia="Calibri" w:hAnsi="Verdana" w:cs="Times New Roman"/>
          <w:sz w:val="20"/>
          <w:lang w:val="pt-BR"/>
        </w:rPr>
        <w:tab/>
      </w:r>
      <w:r w:rsidRPr="005A3F61">
        <w:rPr>
          <w:rFonts w:ascii="Verdana" w:eastAsia="Calibri" w:hAnsi="Verdana" w:cs="Times New Roman"/>
          <w:sz w:val="20"/>
          <w:lang w:val="pt-BR"/>
        </w:rPr>
        <w:tab/>
      </w:r>
    </w:p>
    <w:p w:rsidR="007C1FAC" w:rsidRPr="005A3F61" w:rsidRDefault="007C1FAC" w:rsidP="007C1FAC">
      <w:pPr>
        <w:jc w:val="both"/>
        <w:rPr>
          <w:rFonts w:ascii="Verdana" w:eastAsia="Calibri" w:hAnsi="Verdana" w:cs="Times New Roman"/>
          <w:sz w:val="20"/>
          <w:lang w:val="pt-BR"/>
        </w:rPr>
      </w:pPr>
    </w:p>
    <w:p w:rsidR="007C1FAC" w:rsidRDefault="007C1FAC" w:rsidP="007C1FAC">
      <w:pPr>
        <w:jc w:val="both"/>
        <w:rPr>
          <w:rFonts w:ascii="Verdana" w:eastAsia="Calibri" w:hAnsi="Verdana" w:cs="Times New Roman"/>
          <w:sz w:val="20"/>
          <w:lang w:val="pt-BR"/>
        </w:rPr>
      </w:pPr>
    </w:p>
    <w:p w:rsidR="007C1FAC" w:rsidRDefault="007C1FAC" w:rsidP="007C1FAC">
      <w:pPr>
        <w:jc w:val="both"/>
        <w:rPr>
          <w:rFonts w:ascii="Verdana" w:eastAsia="Calibri" w:hAnsi="Verdana" w:cs="Times New Roman"/>
          <w:sz w:val="20"/>
          <w:lang w:val="pt-BR"/>
        </w:rPr>
      </w:pPr>
    </w:p>
    <w:p w:rsidR="007C1FAC" w:rsidRPr="005A3F61" w:rsidRDefault="007C1FAC" w:rsidP="007C1FAC">
      <w:pPr>
        <w:jc w:val="both"/>
        <w:rPr>
          <w:rFonts w:ascii="Verdana" w:eastAsia="Calibri" w:hAnsi="Verdana" w:cs="Times New Roman"/>
          <w:sz w:val="20"/>
          <w:lang w:val="pt-BR"/>
        </w:rPr>
      </w:pPr>
    </w:p>
    <w:p w:rsidR="007C1FAC" w:rsidRPr="005A3F61" w:rsidRDefault="007C1FAC" w:rsidP="007C1FAC">
      <w:pPr>
        <w:jc w:val="both"/>
        <w:rPr>
          <w:rFonts w:ascii="Verdana" w:eastAsia="Calibri" w:hAnsi="Verdana" w:cs="Times New Roman"/>
          <w:sz w:val="20"/>
          <w:lang w:val="pt-BR"/>
        </w:rPr>
      </w:pPr>
    </w:p>
    <w:p w:rsidR="007C1FAC" w:rsidRPr="00994BD5" w:rsidRDefault="007C1FAC" w:rsidP="007C1FAC">
      <w:pPr>
        <w:jc w:val="both"/>
        <w:rPr>
          <w:rFonts w:ascii="Verdana" w:eastAsia="Calibri" w:hAnsi="Verdana" w:cs="Times New Roman"/>
          <w:sz w:val="20"/>
          <w:lang w:val="es-ES"/>
        </w:rPr>
      </w:pPr>
      <w:proofErr w:type="spellStart"/>
      <w:r w:rsidRPr="00994BD5">
        <w:rPr>
          <w:rFonts w:ascii="Verdana" w:eastAsia="Calibri" w:hAnsi="Verdana" w:cs="Times New Roman"/>
          <w:sz w:val="20"/>
          <w:lang w:val="es-ES"/>
        </w:rPr>
        <w:t>Rhadys</w:t>
      </w:r>
      <w:proofErr w:type="spellEnd"/>
      <w:r w:rsidRPr="00994BD5">
        <w:rPr>
          <w:rFonts w:ascii="Verdana" w:eastAsia="Calibri" w:hAnsi="Verdana" w:cs="Times New Roman"/>
          <w:sz w:val="20"/>
          <w:lang w:val="es-ES"/>
        </w:rPr>
        <w:t xml:space="preserve"> Abreu </w:t>
      </w:r>
      <w:proofErr w:type="spellStart"/>
      <w:r w:rsidRPr="00994BD5">
        <w:rPr>
          <w:rFonts w:ascii="Verdana" w:eastAsia="Calibri" w:hAnsi="Verdana" w:cs="Times New Roman"/>
          <w:sz w:val="20"/>
          <w:lang w:val="es-ES"/>
        </w:rPr>
        <w:t>Blondet</w:t>
      </w:r>
      <w:proofErr w:type="spellEnd"/>
      <w:r w:rsidRPr="00994BD5">
        <w:rPr>
          <w:rFonts w:ascii="Verdana" w:eastAsia="Calibri" w:hAnsi="Verdana" w:cs="Times New Roman"/>
          <w:sz w:val="20"/>
          <w:lang w:val="es-ES"/>
        </w:rPr>
        <w:t xml:space="preserve">        </w:t>
      </w:r>
      <w:r w:rsidRPr="00994BD5">
        <w:rPr>
          <w:rFonts w:ascii="Verdana" w:eastAsia="Calibri" w:hAnsi="Verdana" w:cs="Times New Roman"/>
          <w:sz w:val="20"/>
          <w:lang w:val="es-ES"/>
        </w:rPr>
        <w:tab/>
      </w:r>
      <w:r w:rsidRPr="00994BD5">
        <w:rPr>
          <w:rFonts w:ascii="Verdana" w:eastAsia="Calibri" w:hAnsi="Verdana" w:cs="Times New Roman"/>
          <w:sz w:val="20"/>
          <w:lang w:val="es-ES"/>
        </w:rPr>
        <w:tab/>
      </w:r>
      <w:r w:rsidRPr="00994BD5">
        <w:rPr>
          <w:rFonts w:ascii="Verdana" w:eastAsia="Calibri" w:hAnsi="Verdana" w:cs="Times New Roman"/>
          <w:sz w:val="20"/>
          <w:lang w:val="es-ES"/>
        </w:rPr>
        <w:tab/>
      </w:r>
      <w:r w:rsidRPr="00994BD5">
        <w:rPr>
          <w:rFonts w:ascii="Verdana" w:eastAsia="Calibri" w:hAnsi="Verdana" w:cs="Times New Roman"/>
          <w:sz w:val="20"/>
          <w:lang w:val="es-ES"/>
        </w:rPr>
        <w:tab/>
      </w:r>
      <w:r w:rsidRPr="00994BD5">
        <w:rPr>
          <w:rFonts w:ascii="Verdana" w:eastAsia="Calibri" w:hAnsi="Verdana" w:cs="Times New Roman"/>
          <w:sz w:val="20"/>
          <w:lang w:val="es-ES"/>
        </w:rPr>
        <w:tab/>
      </w:r>
      <w:r w:rsidRPr="00567723">
        <w:rPr>
          <w:rFonts w:ascii="Verdana" w:eastAsia="Calibri" w:hAnsi="Verdana" w:cs="Times New Roman"/>
          <w:sz w:val="20"/>
          <w:lang w:val="es-ES"/>
        </w:rPr>
        <w:t xml:space="preserve">Alberto Pérez </w:t>
      </w:r>
      <w:proofErr w:type="spellStart"/>
      <w:r w:rsidRPr="00567723">
        <w:rPr>
          <w:rFonts w:ascii="Verdana" w:eastAsia="Calibri" w:hAnsi="Verdana" w:cs="Times New Roman"/>
          <w:sz w:val="20"/>
          <w:lang w:val="es-ES"/>
        </w:rPr>
        <w:t>P</w:t>
      </w:r>
      <w:r>
        <w:rPr>
          <w:rFonts w:ascii="Verdana" w:eastAsia="Calibri" w:hAnsi="Verdana" w:cs="Times New Roman"/>
          <w:sz w:val="20"/>
          <w:lang w:val="es-ES"/>
        </w:rPr>
        <w:t>érez</w:t>
      </w:r>
      <w:proofErr w:type="spellEnd"/>
      <w:r>
        <w:rPr>
          <w:rFonts w:ascii="Verdana" w:eastAsia="Calibri" w:hAnsi="Verdana" w:cs="Times New Roman"/>
          <w:sz w:val="20"/>
          <w:lang w:val="es-ES"/>
        </w:rPr>
        <w:tab/>
      </w:r>
    </w:p>
    <w:p w:rsidR="007C1FAC" w:rsidRPr="00994BD5" w:rsidRDefault="007C1FAC" w:rsidP="007C1FAC">
      <w:pPr>
        <w:jc w:val="both"/>
        <w:rPr>
          <w:rFonts w:ascii="Verdana" w:eastAsia="Calibri" w:hAnsi="Verdana" w:cs="Times New Roman"/>
          <w:sz w:val="20"/>
          <w:lang w:val="es-ES"/>
        </w:rPr>
      </w:pPr>
    </w:p>
    <w:p w:rsidR="007C1FAC" w:rsidRPr="00994BD5" w:rsidRDefault="007C1FAC" w:rsidP="007C1FAC">
      <w:pPr>
        <w:jc w:val="both"/>
        <w:rPr>
          <w:rFonts w:ascii="Verdana" w:eastAsia="Calibri" w:hAnsi="Verdana" w:cs="Times New Roman"/>
          <w:sz w:val="20"/>
          <w:lang w:val="es-ES"/>
        </w:rPr>
      </w:pPr>
    </w:p>
    <w:p w:rsidR="007C1FAC" w:rsidRPr="00994BD5" w:rsidRDefault="007C1FAC" w:rsidP="007C1FAC">
      <w:pPr>
        <w:jc w:val="both"/>
        <w:rPr>
          <w:rFonts w:ascii="Verdana" w:eastAsia="Calibri" w:hAnsi="Verdana" w:cs="Times New Roman"/>
          <w:sz w:val="20"/>
          <w:lang w:val="es-ES"/>
        </w:rPr>
      </w:pPr>
    </w:p>
    <w:p w:rsidR="007C1FAC" w:rsidRPr="00994BD5" w:rsidRDefault="007C1FAC" w:rsidP="007C1FAC">
      <w:pPr>
        <w:jc w:val="both"/>
        <w:rPr>
          <w:rFonts w:ascii="Verdana" w:eastAsia="Calibri" w:hAnsi="Verdana" w:cs="Times New Roman"/>
          <w:sz w:val="20"/>
          <w:lang w:val="es-ES"/>
        </w:rPr>
      </w:pPr>
    </w:p>
    <w:p w:rsidR="007C1FAC" w:rsidRPr="00567723" w:rsidRDefault="007C1FAC" w:rsidP="007C1FAC">
      <w:pPr>
        <w:jc w:val="both"/>
        <w:rPr>
          <w:rFonts w:ascii="Verdana" w:eastAsia="Calibri" w:hAnsi="Verdana" w:cs="Times New Roman"/>
          <w:sz w:val="20"/>
          <w:lang w:val="es-ES"/>
        </w:rPr>
      </w:pPr>
      <w:r>
        <w:rPr>
          <w:rFonts w:ascii="Verdana" w:eastAsia="Calibri" w:hAnsi="Verdana" w:cs="Times New Roman"/>
          <w:sz w:val="20"/>
          <w:lang w:val="es-ES"/>
        </w:rPr>
        <w:tab/>
      </w:r>
      <w:r>
        <w:rPr>
          <w:rFonts w:ascii="Verdana" w:eastAsia="Calibri" w:hAnsi="Verdana" w:cs="Times New Roman"/>
          <w:sz w:val="20"/>
          <w:lang w:val="es-ES"/>
        </w:rPr>
        <w:tab/>
      </w:r>
      <w:r>
        <w:rPr>
          <w:rFonts w:ascii="Verdana" w:eastAsia="Calibri" w:hAnsi="Verdana" w:cs="Times New Roman"/>
          <w:sz w:val="20"/>
          <w:lang w:val="es-ES"/>
        </w:rPr>
        <w:tab/>
      </w:r>
      <w:r>
        <w:rPr>
          <w:rFonts w:ascii="Verdana" w:eastAsia="Calibri" w:hAnsi="Verdana" w:cs="Times New Roman"/>
          <w:sz w:val="20"/>
          <w:lang w:val="es-ES"/>
        </w:rPr>
        <w:tab/>
      </w:r>
      <w:r>
        <w:rPr>
          <w:rFonts w:ascii="Verdana" w:eastAsia="Calibri" w:hAnsi="Verdana" w:cs="Times New Roman"/>
          <w:sz w:val="20"/>
          <w:lang w:val="es-ES"/>
        </w:rPr>
        <w:tab/>
      </w:r>
    </w:p>
    <w:p w:rsidR="007C1FAC" w:rsidRPr="00567723" w:rsidRDefault="007C1FAC" w:rsidP="007C1FAC">
      <w:pPr>
        <w:jc w:val="both"/>
        <w:rPr>
          <w:rFonts w:ascii="Verdana" w:eastAsia="Calibri" w:hAnsi="Verdana" w:cs="Times New Roman"/>
          <w:sz w:val="20"/>
          <w:lang w:val="es-ES"/>
        </w:rPr>
      </w:pPr>
    </w:p>
    <w:p w:rsidR="007C1FAC" w:rsidRDefault="007C1FAC" w:rsidP="007C1FAC">
      <w:pPr>
        <w:jc w:val="both"/>
        <w:rPr>
          <w:rFonts w:ascii="Verdana" w:eastAsia="Calibri" w:hAnsi="Verdana" w:cs="Times New Roman"/>
          <w:sz w:val="20"/>
          <w:lang w:val="es-ES"/>
        </w:rPr>
      </w:pPr>
    </w:p>
    <w:p w:rsidR="007C1FAC" w:rsidRDefault="007C1FAC" w:rsidP="007C1FAC">
      <w:pPr>
        <w:jc w:val="both"/>
        <w:rPr>
          <w:rFonts w:ascii="Verdana" w:eastAsia="Calibri" w:hAnsi="Verdana" w:cs="Times New Roman"/>
          <w:sz w:val="20"/>
          <w:lang w:val="es-ES"/>
        </w:rPr>
      </w:pPr>
    </w:p>
    <w:p w:rsidR="007C1FAC" w:rsidRDefault="007C1FAC" w:rsidP="007C1FAC">
      <w:pPr>
        <w:jc w:val="both"/>
        <w:rPr>
          <w:rFonts w:ascii="Verdana" w:eastAsia="Calibri" w:hAnsi="Verdana" w:cs="Times New Roman"/>
          <w:sz w:val="20"/>
          <w:lang w:val="es-ES"/>
        </w:rPr>
      </w:pPr>
    </w:p>
    <w:p w:rsidR="007C1FAC" w:rsidRDefault="007C1FAC" w:rsidP="007C1FAC">
      <w:pPr>
        <w:jc w:val="both"/>
        <w:rPr>
          <w:rFonts w:ascii="Verdana" w:eastAsia="Calibri" w:hAnsi="Verdana" w:cs="Times New Roman"/>
          <w:sz w:val="20"/>
          <w:lang w:val="es-ES"/>
        </w:rPr>
      </w:pPr>
    </w:p>
    <w:p w:rsidR="007C1FAC" w:rsidRDefault="007C1FAC" w:rsidP="007C1FAC">
      <w:pPr>
        <w:jc w:val="both"/>
        <w:rPr>
          <w:rFonts w:ascii="Verdana" w:eastAsia="Calibri" w:hAnsi="Verdana" w:cs="Times New Roman"/>
          <w:sz w:val="20"/>
          <w:lang w:val="es-ES"/>
        </w:rPr>
      </w:pPr>
    </w:p>
    <w:p w:rsidR="007C1FAC" w:rsidRPr="00567723" w:rsidRDefault="007C1FAC" w:rsidP="007C1FAC">
      <w:pPr>
        <w:jc w:val="both"/>
        <w:rPr>
          <w:rFonts w:ascii="Verdana" w:eastAsia="Calibri" w:hAnsi="Verdana" w:cs="Times New Roman"/>
          <w:sz w:val="20"/>
          <w:lang w:val="es-ES"/>
        </w:rPr>
      </w:pPr>
    </w:p>
    <w:p w:rsidR="007C1FAC" w:rsidRPr="00C8374B" w:rsidRDefault="007C1FAC" w:rsidP="007C1FAC">
      <w:pPr>
        <w:jc w:val="center"/>
        <w:rPr>
          <w:rFonts w:ascii="Verdana" w:eastAsia="Calibri" w:hAnsi="Verdana" w:cs="Times New Roman"/>
          <w:sz w:val="20"/>
          <w:lang w:val="es-ES"/>
        </w:rPr>
      </w:pPr>
      <w:r w:rsidRPr="00C8374B">
        <w:rPr>
          <w:rFonts w:ascii="Verdana" w:eastAsia="Calibri" w:hAnsi="Verdana" w:cs="Times New Roman"/>
          <w:sz w:val="20"/>
          <w:lang w:val="es-ES"/>
        </w:rPr>
        <w:t>Pablo Saavedra Alessandri</w:t>
      </w:r>
    </w:p>
    <w:p w:rsidR="007C1FAC" w:rsidRPr="00C8374B" w:rsidRDefault="007C1FAC" w:rsidP="007C1FAC">
      <w:pPr>
        <w:ind w:left="2880" w:firstLine="720"/>
        <w:rPr>
          <w:rFonts w:ascii="Verdana" w:eastAsia="Calibri" w:hAnsi="Verdana" w:cs="Times New Roman"/>
          <w:sz w:val="20"/>
          <w:lang w:val="es-ES"/>
        </w:rPr>
      </w:pPr>
      <w:r w:rsidRPr="00C8374B">
        <w:rPr>
          <w:rFonts w:ascii="Verdana" w:eastAsia="Calibri" w:hAnsi="Verdana" w:cs="Times New Roman"/>
          <w:sz w:val="20"/>
          <w:lang w:val="es-ES"/>
        </w:rPr>
        <w:t>Secretario</w:t>
      </w:r>
    </w:p>
    <w:p w:rsidR="007C1FAC" w:rsidRPr="00C8374B" w:rsidRDefault="007C1FAC" w:rsidP="007C1FAC">
      <w:pPr>
        <w:jc w:val="both"/>
        <w:rPr>
          <w:rFonts w:ascii="Verdana" w:eastAsia="Calibri" w:hAnsi="Verdana" w:cs="Times New Roman"/>
          <w:sz w:val="20"/>
          <w:lang w:val="es-ES"/>
        </w:rPr>
      </w:pPr>
    </w:p>
    <w:p w:rsidR="007C1FAC" w:rsidRPr="00C8374B" w:rsidRDefault="007C1FAC" w:rsidP="007C1FAC">
      <w:pPr>
        <w:jc w:val="both"/>
        <w:rPr>
          <w:rFonts w:ascii="Verdana" w:eastAsia="Calibri" w:hAnsi="Verdana" w:cs="Times New Roman"/>
          <w:sz w:val="20"/>
          <w:lang w:val="es-ES"/>
        </w:rPr>
      </w:pPr>
    </w:p>
    <w:p w:rsidR="007C1FAC" w:rsidRPr="007C1FAC" w:rsidRDefault="007C1FAC" w:rsidP="007C1FAC">
      <w:pPr>
        <w:jc w:val="both"/>
        <w:rPr>
          <w:rFonts w:ascii="Verdana" w:eastAsia="Calibri" w:hAnsi="Verdana" w:cs="Times New Roman"/>
          <w:sz w:val="20"/>
          <w:lang w:val="es-MX"/>
        </w:rPr>
      </w:pPr>
      <w:r w:rsidRPr="007C1FAC">
        <w:rPr>
          <w:rFonts w:ascii="Verdana" w:eastAsia="Calibri" w:hAnsi="Verdana" w:cs="Times New Roman"/>
          <w:sz w:val="20"/>
          <w:lang w:val="es-MX"/>
        </w:rPr>
        <w:t>Comuníquese y ejecútese,</w:t>
      </w:r>
    </w:p>
    <w:p w:rsidR="007C1FAC" w:rsidRPr="007C1FAC" w:rsidRDefault="007C1FAC" w:rsidP="007C1FAC">
      <w:pPr>
        <w:jc w:val="both"/>
        <w:rPr>
          <w:rFonts w:ascii="Verdana" w:eastAsia="Calibri" w:hAnsi="Verdana" w:cs="Times New Roman"/>
          <w:sz w:val="20"/>
          <w:lang w:val="es-MX"/>
        </w:rPr>
      </w:pPr>
    </w:p>
    <w:p w:rsidR="007C1FAC" w:rsidRPr="007C1FAC" w:rsidRDefault="007C1FAC" w:rsidP="007C1FAC">
      <w:pPr>
        <w:jc w:val="both"/>
        <w:rPr>
          <w:rFonts w:ascii="Verdana" w:eastAsia="Calibri" w:hAnsi="Verdana" w:cs="Times New Roman"/>
          <w:sz w:val="20"/>
          <w:lang w:val="es-MX"/>
        </w:rPr>
      </w:pPr>
    </w:p>
    <w:p w:rsidR="007C1FAC" w:rsidRPr="007C1FAC" w:rsidRDefault="007C1FAC" w:rsidP="007C1FAC">
      <w:pPr>
        <w:jc w:val="both"/>
        <w:rPr>
          <w:rFonts w:ascii="Verdana" w:eastAsia="Calibri" w:hAnsi="Verdana" w:cs="Times New Roman"/>
          <w:sz w:val="20"/>
          <w:lang w:val="es-MX"/>
        </w:rPr>
      </w:pPr>
    </w:p>
    <w:p w:rsidR="007C1FAC" w:rsidRPr="007C1FAC" w:rsidRDefault="007C1FAC" w:rsidP="007C1FAC">
      <w:pPr>
        <w:ind w:left="3600" w:firstLine="720"/>
        <w:jc w:val="center"/>
        <w:rPr>
          <w:rFonts w:ascii="Verdana" w:eastAsia="Calibri" w:hAnsi="Verdana" w:cs="Times New Roman"/>
          <w:sz w:val="20"/>
          <w:lang w:val="es-MX"/>
        </w:rPr>
      </w:pPr>
      <w:r w:rsidRPr="007C1FAC">
        <w:rPr>
          <w:rFonts w:ascii="Verdana" w:eastAsia="Calibri" w:hAnsi="Verdana" w:cs="Times New Roman"/>
          <w:sz w:val="20"/>
          <w:lang w:val="es-MX"/>
        </w:rPr>
        <w:t>Diego García-Sayán</w:t>
      </w:r>
    </w:p>
    <w:p w:rsidR="007C1FAC" w:rsidRPr="00C8374B" w:rsidRDefault="007C1FAC" w:rsidP="007C1FAC">
      <w:pPr>
        <w:ind w:left="3600" w:firstLine="720"/>
        <w:jc w:val="center"/>
        <w:rPr>
          <w:rFonts w:ascii="Verdana" w:eastAsia="Calibri" w:hAnsi="Verdana" w:cs="Times New Roman"/>
          <w:sz w:val="20"/>
          <w:lang w:val="es-ES"/>
        </w:rPr>
      </w:pPr>
      <w:r w:rsidRPr="00C8374B">
        <w:rPr>
          <w:rFonts w:ascii="Verdana" w:eastAsia="Calibri" w:hAnsi="Verdana" w:cs="Times New Roman"/>
          <w:sz w:val="20"/>
          <w:lang w:val="es-ES"/>
        </w:rPr>
        <w:t>Presidente</w:t>
      </w:r>
    </w:p>
    <w:p w:rsidR="007C1FAC" w:rsidRPr="00C8374B" w:rsidRDefault="007C1FAC" w:rsidP="007C1FAC">
      <w:pPr>
        <w:jc w:val="both"/>
        <w:rPr>
          <w:rFonts w:ascii="Verdana" w:eastAsia="Calibri" w:hAnsi="Verdana" w:cs="Times New Roman"/>
          <w:sz w:val="20"/>
          <w:lang w:val="es-ES"/>
        </w:rPr>
      </w:pPr>
    </w:p>
    <w:p w:rsidR="007C1FAC" w:rsidRPr="00C8374B" w:rsidRDefault="007C1FAC" w:rsidP="007C1FAC">
      <w:pPr>
        <w:jc w:val="both"/>
        <w:rPr>
          <w:rFonts w:ascii="Verdana" w:eastAsia="Calibri" w:hAnsi="Verdana" w:cs="Times New Roman"/>
          <w:sz w:val="20"/>
          <w:lang w:val="es-ES"/>
        </w:rPr>
      </w:pPr>
    </w:p>
    <w:p w:rsidR="007C1FAC" w:rsidRPr="00C8374B" w:rsidRDefault="007C1FAC" w:rsidP="007C1FAC">
      <w:pPr>
        <w:jc w:val="both"/>
        <w:rPr>
          <w:rFonts w:ascii="Verdana" w:eastAsia="Calibri" w:hAnsi="Verdana" w:cs="Times New Roman"/>
          <w:sz w:val="20"/>
          <w:lang w:val="es-ES"/>
        </w:rPr>
      </w:pPr>
    </w:p>
    <w:p w:rsidR="007C1FAC" w:rsidRPr="00C8374B" w:rsidRDefault="007C1FAC" w:rsidP="007C1FAC">
      <w:pPr>
        <w:jc w:val="both"/>
        <w:rPr>
          <w:rFonts w:ascii="Verdana" w:eastAsia="Calibri" w:hAnsi="Verdana" w:cs="Times New Roman"/>
          <w:sz w:val="20"/>
          <w:lang w:val="es-ES"/>
        </w:rPr>
      </w:pPr>
      <w:r w:rsidRPr="00C8374B">
        <w:rPr>
          <w:rFonts w:ascii="Verdana" w:eastAsia="Calibri" w:hAnsi="Verdana" w:cs="Times New Roman"/>
          <w:sz w:val="20"/>
          <w:lang w:val="es-ES"/>
        </w:rPr>
        <w:t>Pablo Saavedra Alessandri</w:t>
      </w:r>
    </w:p>
    <w:p w:rsidR="007C1FAC" w:rsidRDefault="007C1FAC" w:rsidP="007C1FAC">
      <w:pPr>
        <w:rPr>
          <w:rFonts w:ascii="Verdana" w:eastAsia="Calibri" w:hAnsi="Verdana" w:cs="Times New Roman"/>
          <w:sz w:val="20"/>
        </w:rPr>
      </w:pPr>
      <w:r w:rsidRPr="00C8374B">
        <w:rPr>
          <w:rFonts w:ascii="Verdana" w:eastAsia="Calibri" w:hAnsi="Verdana" w:cs="Times New Roman"/>
          <w:sz w:val="20"/>
          <w:lang w:val="es-ES"/>
        </w:rPr>
        <w:tab/>
      </w:r>
      <w:proofErr w:type="spellStart"/>
      <w:r>
        <w:rPr>
          <w:rFonts w:ascii="Verdana" w:eastAsia="Calibri" w:hAnsi="Verdana" w:cs="Times New Roman"/>
          <w:sz w:val="20"/>
        </w:rPr>
        <w:t>Secretario</w:t>
      </w:r>
      <w:proofErr w:type="spellEnd"/>
      <w:r>
        <w:rPr>
          <w:rFonts w:ascii="Verdana" w:eastAsia="Calibri" w:hAnsi="Verdana" w:cs="Times New Roman"/>
          <w:sz w:val="20"/>
        </w:rPr>
        <w:t xml:space="preserve"> </w:t>
      </w:r>
    </w:p>
    <w:p w:rsidR="007C1FAC" w:rsidRDefault="007C1FAC" w:rsidP="007C1FAC">
      <w:pPr>
        <w:rPr>
          <w:rFonts w:ascii="Verdana" w:eastAsia="Calibri" w:hAnsi="Verdana" w:cs="Times New Roman"/>
          <w:sz w:val="20"/>
        </w:rPr>
      </w:pPr>
    </w:p>
    <w:p w:rsidR="007C1FAC" w:rsidRPr="00EF7C5E" w:rsidRDefault="007C1FAC" w:rsidP="007C1FAC">
      <w:pPr>
        <w:rPr>
          <w:rFonts w:ascii="Calibri" w:eastAsia="Calibri" w:hAnsi="Calibri" w:cs="Times New Roman"/>
        </w:rPr>
      </w:pPr>
    </w:p>
    <w:p w:rsidR="00C8374B" w:rsidRDefault="00C8374B" w:rsidP="003F64EA">
      <w:pPr>
        <w:pStyle w:val="ListParagraph"/>
        <w:spacing w:after="0"/>
        <w:ind w:left="0"/>
        <w:jc w:val="both"/>
        <w:rPr>
          <w:rFonts w:ascii="Verdana" w:hAnsi="Verdana"/>
          <w:sz w:val="20"/>
          <w:szCs w:val="20"/>
          <w:lang w:val="es-ES"/>
        </w:rPr>
        <w:sectPr w:rsidR="00C8374B" w:rsidSect="005A1180">
          <w:pgSz w:w="12240" w:h="15840"/>
          <w:pgMar w:top="1440" w:right="1440" w:bottom="1440" w:left="1440" w:header="794" w:footer="567" w:gutter="0"/>
          <w:cols w:space="720"/>
          <w:docGrid w:linePitch="360"/>
        </w:sectPr>
      </w:pPr>
    </w:p>
    <w:p w:rsidR="00C8374B" w:rsidRDefault="00C8374B" w:rsidP="00C8374B">
      <w:pPr>
        <w:jc w:val="center"/>
        <w:rPr>
          <w:b/>
          <w:szCs w:val="20"/>
          <w:lang w:val="es-CR"/>
        </w:rPr>
      </w:pPr>
    </w:p>
    <w:p w:rsidR="00C8374B" w:rsidRDefault="00C8374B" w:rsidP="00C8374B">
      <w:pPr>
        <w:jc w:val="center"/>
        <w:rPr>
          <w:b/>
          <w:szCs w:val="20"/>
          <w:lang w:val="es-CR"/>
        </w:rPr>
      </w:pPr>
    </w:p>
    <w:p w:rsidR="00C8374B" w:rsidRDefault="00C8374B" w:rsidP="00C8374B">
      <w:pPr>
        <w:jc w:val="center"/>
        <w:rPr>
          <w:b/>
          <w:szCs w:val="20"/>
          <w:lang w:val="es-CR"/>
        </w:rPr>
      </w:pPr>
    </w:p>
    <w:p w:rsidR="00C8374B" w:rsidRDefault="00C8374B" w:rsidP="00C8374B">
      <w:pPr>
        <w:jc w:val="center"/>
        <w:rPr>
          <w:b/>
          <w:szCs w:val="20"/>
          <w:lang w:val="es-CR"/>
        </w:rPr>
      </w:pPr>
    </w:p>
    <w:p w:rsidR="00C8374B" w:rsidRDefault="00C8374B" w:rsidP="00C8374B">
      <w:pPr>
        <w:jc w:val="center"/>
        <w:rPr>
          <w:b/>
          <w:szCs w:val="20"/>
          <w:lang w:val="es-CR"/>
        </w:rPr>
      </w:pPr>
    </w:p>
    <w:p w:rsidR="00C8374B" w:rsidRDefault="00C8374B" w:rsidP="00C8374B">
      <w:pPr>
        <w:jc w:val="center"/>
        <w:rPr>
          <w:b/>
          <w:szCs w:val="20"/>
          <w:lang w:val="es-CR"/>
        </w:rPr>
      </w:pPr>
    </w:p>
    <w:p w:rsidR="00C8374B" w:rsidRDefault="00C8374B" w:rsidP="00C8374B">
      <w:pPr>
        <w:jc w:val="center"/>
        <w:rPr>
          <w:b/>
          <w:szCs w:val="20"/>
          <w:lang w:val="es-CR"/>
        </w:rPr>
      </w:pPr>
    </w:p>
    <w:p w:rsidR="00C8374B" w:rsidRDefault="00C8374B" w:rsidP="00C8374B">
      <w:pPr>
        <w:jc w:val="center"/>
        <w:rPr>
          <w:b/>
          <w:szCs w:val="20"/>
          <w:lang w:val="es-CR"/>
        </w:rPr>
      </w:pPr>
    </w:p>
    <w:p w:rsidR="00C8374B" w:rsidRPr="00896AD5" w:rsidRDefault="00C8374B" w:rsidP="00C8374B">
      <w:pPr>
        <w:jc w:val="center"/>
        <w:rPr>
          <w:b/>
          <w:szCs w:val="20"/>
          <w:lang w:val="es-CR"/>
        </w:rPr>
      </w:pPr>
      <w:r w:rsidRPr="00896AD5">
        <w:rPr>
          <w:b/>
          <w:szCs w:val="20"/>
          <w:lang w:val="es-CR"/>
        </w:rPr>
        <w:t xml:space="preserve">Voto Disidente de la Jueza Margarette </w:t>
      </w:r>
      <w:proofErr w:type="spellStart"/>
      <w:r w:rsidRPr="00896AD5">
        <w:rPr>
          <w:b/>
          <w:szCs w:val="20"/>
          <w:lang w:val="es-CR"/>
        </w:rPr>
        <w:t>May</w:t>
      </w:r>
      <w:proofErr w:type="spellEnd"/>
      <w:r w:rsidRPr="00896AD5">
        <w:rPr>
          <w:b/>
          <w:szCs w:val="20"/>
          <w:lang w:val="es-CR"/>
        </w:rPr>
        <w:t xml:space="preserve"> </w:t>
      </w:r>
      <w:proofErr w:type="spellStart"/>
      <w:r w:rsidRPr="00896AD5">
        <w:rPr>
          <w:b/>
          <w:szCs w:val="20"/>
          <w:lang w:val="es-CR"/>
        </w:rPr>
        <w:t>Macaulay</w:t>
      </w:r>
      <w:proofErr w:type="spellEnd"/>
      <w:r w:rsidRPr="00896AD5">
        <w:rPr>
          <w:b/>
          <w:szCs w:val="20"/>
          <w:lang w:val="es-CR"/>
        </w:rPr>
        <w:t xml:space="preserve"> </w:t>
      </w:r>
    </w:p>
    <w:p w:rsidR="00C8374B" w:rsidRPr="00896AD5" w:rsidRDefault="00C8374B" w:rsidP="00C8374B">
      <w:pPr>
        <w:rPr>
          <w:szCs w:val="20"/>
          <w:lang w:val="es-GT"/>
        </w:rPr>
      </w:pPr>
    </w:p>
    <w:p w:rsidR="00C8374B" w:rsidRPr="00896AD5" w:rsidRDefault="00C8374B" w:rsidP="00C8374B">
      <w:pPr>
        <w:rPr>
          <w:szCs w:val="20"/>
          <w:lang w:val="es-CR"/>
        </w:rPr>
      </w:pPr>
      <w:r w:rsidRPr="00896AD5">
        <w:rPr>
          <w:szCs w:val="20"/>
          <w:lang w:val="es-GT"/>
        </w:rPr>
        <w:t>C</w:t>
      </w:r>
      <w:proofErr w:type="spellStart"/>
      <w:r w:rsidRPr="00896AD5">
        <w:rPr>
          <w:szCs w:val="20"/>
          <w:lang w:val="es-CR"/>
        </w:rPr>
        <w:t>onsidero</w:t>
      </w:r>
      <w:proofErr w:type="spellEnd"/>
      <w:r w:rsidRPr="00896AD5">
        <w:rPr>
          <w:szCs w:val="20"/>
          <w:lang w:val="es-CR"/>
        </w:rPr>
        <w:t xml:space="preserve"> que la Resolución de la mayoría de los Jueces de la Corte rechazando la solicitud de que no se publique en la Sentencia del Tribunal, la identidad de uno de los que fueron considerados como víctimas por la Corte en este caso, es </w:t>
      </w:r>
      <w:r>
        <w:rPr>
          <w:szCs w:val="20"/>
          <w:lang w:val="es-CR"/>
        </w:rPr>
        <w:t>de cierto modo autoritaria</w:t>
      </w:r>
      <w:r w:rsidRPr="00896AD5">
        <w:rPr>
          <w:szCs w:val="20"/>
          <w:lang w:val="es-CR"/>
        </w:rPr>
        <w:t xml:space="preserve"> y tan preocupante, que me veo obligada a escribir este breve voto explicando mi </w:t>
      </w:r>
      <w:r>
        <w:rPr>
          <w:szCs w:val="20"/>
          <w:lang w:val="es-CR"/>
        </w:rPr>
        <w:t>posición</w:t>
      </w:r>
      <w:r w:rsidRPr="00896AD5">
        <w:rPr>
          <w:szCs w:val="20"/>
          <w:lang w:val="es-CR"/>
        </w:rPr>
        <w:t>.</w:t>
      </w:r>
    </w:p>
    <w:p w:rsidR="00C8374B" w:rsidRPr="00896AD5" w:rsidRDefault="00C8374B" w:rsidP="00C8374B">
      <w:pPr>
        <w:rPr>
          <w:szCs w:val="20"/>
          <w:lang w:val="es-CR"/>
        </w:rPr>
      </w:pPr>
    </w:p>
    <w:p w:rsidR="00C8374B" w:rsidRPr="00896AD5" w:rsidRDefault="00C8374B" w:rsidP="00C8374B">
      <w:pPr>
        <w:rPr>
          <w:szCs w:val="20"/>
          <w:lang w:val="es-CR"/>
        </w:rPr>
      </w:pPr>
      <w:r w:rsidRPr="00896AD5">
        <w:rPr>
          <w:szCs w:val="20"/>
          <w:lang w:val="es-CR"/>
        </w:rPr>
        <w:t xml:space="preserve">Creo que como una Corte internacional de derechos humanos, nuestras decisiones deben ofrecer Resoluciones relevantes no solo para el caso concreto, sino también pronunciamientos </w:t>
      </w:r>
      <w:r>
        <w:rPr>
          <w:szCs w:val="20"/>
          <w:lang w:val="es-CR"/>
        </w:rPr>
        <w:t>orientadores</w:t>
      </w:r>
      <w:r w:rsidRPr="00896AD5">
        <w:rPr>
          <w:szCs w:val="20"/>
          <w:lang w:val="es-CR"/>
        </w:rPr>
        <w:t xml:space="preserve"> acerca de principios y estándares, a los que la región se debe adherir, a fin de alcanzar algún día el respeto y </w:t>
      </w:r>
      <w:r>
        <w:rPr>
          <w:szCs w:val="20"/>
          <w:lang w:val="es-CR"/>
        </w:rPr>
        <w:t xml:space="preserve">la </w:t>
      </w:r>
      <w:r w:rsidRPr="00896AD5">
        <w:rPr>
          <w:szCs w:val="20"/>
          <w:lang w:val="es-CR"/>
        </w:rPr>
        <w:t xml:space="preserve">protección de los derechos y libertades de cada hombre, mujer, niño y niña. Dicho en otras palabras, creo que la Corte debe establecer estándares según los cuales los Estados Parte en la Convención Americana sobre Derechos Humanos (en adelante, “la Convención Americana” o “la Convención”), </w:t>
      </w:r>
      <w:r>
        <w:rPr>
          <w:szCs w:val="20"/>
          <w:lang w:val="es-CR"/>
        </w:rPr>
        <w:t xml:space="preserve">los </w:t>
      </w:r>
      <w:r w:rsidRPr="00896AD5">
        <w:rPr>
          <w:szCs w:val="20"/>
          <w:lang w:val="es-CR"/>
        </w:rPr>
        <w:t>Órganos de la OEA y todas las personas</w:t>
      </w:r>
      <w:r>
        <w:rPr>
          <w:szCs w:val="20"/>
          <w:lang w:val="es-CR"/>
        </w:rPr>
        <w:t>,</w:t>
      </w:r>
      <w:r w:rsidRPr="00896AD5">
        <w:rPr>
          <w:szCs w:val="20"/>
          <w:lang w:val="es-CR"/>
        </w:rPr>
        <w:t xml:space="preserve"> deben actuar en búsqueda del máximo cumplimiento del objetivo de nuestro sistema de derechos humanos en las Américas.</w:t>
      </w:r>
    </w:p>
    <w:p w:rsidR="00C8374B" w:rsidRPr="00896AD5" w:rsidRDefault="00C8374B" w:rsidP="00C8374B">
      <w:pPr>
        <w:rPr>
          <w:szCs w:val="20"/>
          <w:lang w:val="es-GT"/>
        </w:rPr>
      </w:pPr>
    </w:p>
    <w:p w:rsidR="00C8374B" w:rsidRPr="00896AD5" w:rsidRDefault="00C8374B" w:rsidP="00C8374B">
      <w:pPr>
        <w:rPr>
          <w:szCs w:val="20"/>
        </w:rPr>
      </w:pPr>
      <w:proofErr w:type="spellStart"/>
      <w:r w:rsidRPr="00896AD5">
        <w:rPr>
          <w:szCs w:val="20"/>
        </w:rPr>
        <w:t>Por</w:t>
      </w:r>
      <w:proofErr w:type="spellEnd"/>
      <w:r w:rsidRPr="00896AD5">
        <w:rPr>
          <w:szCs w:val="20"/>
        </w:rPr>
        <w:t xml:space="preserve"> </w:t>
      </w:r>
      <w:proofErr w:type="spellStart"/>
      <w:r w:rsidRPr="00896AD5">
        <w:rPr>
          <w:szCs w:val="20"/>
        </w:rPr>
        <w:t>tanto</w:t>
      </w:r>
      <w:proofErr w:type="spellEnd"/>
      <w:r w:rsidRPr="00896AD5">
        <w:rPr>
          <w:szCs w:val="20"/>
        </w:rPr>
        <w:t>:</w:t>
      </w:r>
    </w:p>
    <w:p w:rsidR="00C8374B" w:rsidRPr="00896AD5" w:rsidRDefault="00C8374B" w:rsidP="00C8374B">
      <w:pPr>
        <w:tabs>
          <w:tab w:val="left" w:pos="1310"/>
        </w:tabs>
        <w:rPr>
          <w:szCs w:val="20"/>
        </w:rPr>
      </w:pPr>
      <w:r w:rsidRPr="00896AD5">
        <w:rPr>
          <w:szCs w:val="20"/>
        </w:rPr>
        <w:tab/>
      </w:r>
    </w:p>
    <w:p w:rsidR="00C8374B" w:rsidRPr="00896AD5" w:rsidRDefault="00C8374B" w:rsidP="00C8374B">
      <w:pPr>
        <w:pStyle w:val="ListParagraph"/>
        <w:numPr>
          <w:ilvl w:val="0"/>
          <w:numId w:val="5"/>
        </w:numPr>
        <w:tabs>
          <w:tab w:val="left" w:pos="630"/>
        </w:tabs>
        <w:spacing w:after="0" w:line="240" w:lineRule="auto"/>
        <w:ind w:left="630"/>
        <w:jc w:val="both"/>
        <w:rPr>
          <w:szCs w:val="20"/>
          <w:lang w:val="es-CR"/>
        </w:rPr>
      </w:pPr>
      <w:r w:rsidRPr="00896AD5">
        <w:rPr>
          <w:szCs w:val="20"/>
          <w:lang w:val="es-CR"/>
        </w:rPr>
        <w:t>Creo que, como una Corte internacional de derechos humanos, nosotros no debimos haber meramente denegado esta solicitud de reserva de identidad, sino que debimos buscar establecer estándares según los cuales todos los actores del Sistema Interamericano, incluyendo la misma Corte, deben ser guiados, dentro del ámbito de nuestra Convención y otros instrumentos.</w:t>
      </w:r>
    </w:p>
    <w:p w:rsidR="00C8374B" w:rsidRPr="00896AD5" w:rsidRDefault="00C8374B" w:rsidP="00C8374B">
      <w:pPr>
        <w:pStyle w:val="ListParagraph"/>
        <w:tabs>
          <w:tab w:val="left" w:pos="630"/>
        </w:tabs>
        <w:ind w:left="630"/>
        <w:rPr>
          <w:szCs w:val="20"/>
          <w:lang w:val="es-CR"/>
        </w:rPr>
      </w:pPr>
    </w:p>
    <w:p w:rsidR="00C8374B" w:rsidRPr="00896AD5" w:rsidRDefault="00C8374B" w:rsidP="00C8374B">
      <w:pPr>
        <w:pStyle w:val="ListParagraph"/>
        <w:numPr>
          <w:ilvl w:val="0"/>
          <w:numId w:val="5"/>
        </w:numPr>
        <w:tabs>
          <w:tab w:val="left" w:pos="630"/>
        </w:tabs>
        <w:spacing w:after="0" w:line="240" w:lineRule="auto"/>
        <w:ind w:left="630"/>
        <w:jc w:val="both"/>
        <w:rPr>
          <w:szCs w:val="20"/>
          <w:lang w:val="es-GT"/>
        </w:rPr>
      </w:pPr>
      <w:r w:rsidRPr="00896AD5">
        <w:rPr>
          <w:szCs w:val="20"/>
          <w:lang w:val="es-CR"/>
        </w:rPr>
        <w:t xml:space="preserve">Las partes, la Comisión y la misma Corte (yo incluida) fallamos (indudablemente, de forma involuntaria) al ni siquiera considerar si la identidad de alguna o </w:t>
      </w:r>
      <w:r>
        <w:rPr>
          <w:szCs w:val="20"/>
          <w:lang w:val="es-CR"/>
        </w:rPr>
        <w:t xml:space="preserve">de </w:t>
      </w:r>
      <w:r w:rsidRPr="00896AD5">
        <w:rPr>
          <w:szCs w:val="20"/>
          <w:lang w:val="es-CR"/>
        </w:rPr>
        <w:t xml:space="preserve">todas las </w:t>
      </w:r>
      <w:r>
        <w:rPr>
          <w:szCs w:val="20"/>
          <w:lang w:val="es-CR"/>
        </w:rPr>
        <w:t>presuntas</w:t>
      </w:r>
      <w:r w:rsidRPr="00896AD5">
        <w:rPr>
          <w:szCs w:val="20"/>
          <w:lang w:val="es-CR"/>
        </w:rPr>
        <w:t xml:space="preserve"> víctimas debió ser reservada o no al comienzo del proceso, primeramente ante el Estado y al ser recibida por primera vez por la Comisión y posteriormente por la Corte. Este hecho debió haber sido atendido de frente por el Tribunal al considerar la solicitud</w:t>
      </w:r>
      <w:r>
        <w:rPr>
          <w:szCs w:val="20"/>
          <w:lang w:val="es-CR"/>
        </w:rPr>
        <w:t xml:space="preserve"> y</w:t>
      </w:r>
      <w:r w:rsidRPr="00896AD5">
        <w:rPr>
          <w:szCs w:val="20"/>
          <w:lang w:val="es-CR"/>
        </w:rPr>
        <w:t xml:space="preserve"> al momento de dictar su Sentencia. </w:t>
      </w:r>
      <w:r w:rsidRPr="00896AD5">
        <w:rPr>
          <w:szCs w:val="20"/>
          <w:lang w:val="es-CR"/>
        </w:rPr>
        <w:lastRenderedPageBreak/>
        <w:t xml:space="preserve">Las controversias planteadas en el caso se relacionaban a crímenes cometidos durante los años de infancia y sus consecuencias legales y el trato dado a las víctimas después de sus juicios, </w:t>
      </w:r>
      <w:r>
        <w:rPr>
          <w:szCs w:val="20"/>
          <w:lang w:val="es-CR"/>
        </w:rPr>
        <w:t>el</w:t>
      </w:r>
      <w:r w:rsidRPr="00896AD5">
        <w:rPr>
          <w:szCs w:val="20"/>
          <w:lang w:val="es-CR"/>
        </w:rPr>
        <w:t xml:space="preserve"> cual violó sus derechos bajo la Convención.</w:t>
      </w:r>
      <w:r w:rsidRPr="00896AD5">
        <w:rPr>
          <w:szCs w:val="20"/>
          <w:lang w:val="es-GT"/>
        </w:rPr>
        <w:t xml:space="preserve"> </w:t>
      </w:r>
      <w:r w:rsidRPr="00896AD5">
        <w:rPr>
          <w:szCs w:val="20"/>
          <w:lang w:val="es-CR"/>
        </w:rPr>
        <w:t>Cuando los menores de edad entran en conflicto con la ley por la perpetración de actos criminales</w:t>
      </w:r>
      <w:r>
        <w:rPr>
          <w:szCs w:val="20"/>
          <w:lang w:val="es-CR"/>
        </w:rPr>
        <w:t>,</w:t>
      </w:r>
      <w:r w:rsidRPr="00896AD5">
        <w:rPr>
          <w:szCs w:val="20"/>
          <w:lang w:val="es-CR"/>
        </w:rPr>
        <w:t xml:space="preserve"> y el trato dado a éstos por el sistema de justicia como consecuencia de tal acto </w:t>
      </w:r>
      <w:r>
        <w:rPr>
          <w:szCs w:val="20"/>
          <w:lang w:val="es-CR"/>
        </w:rPr>
        <w:t>es violatorio</w:t>
      </w:r>
      <w:r w:rsidRPr="00896AD5">
        <w:rPr>
          <w:szCs w:val="20"/>
          <w:lang w:val="es-CR"/>
        </w:rPr>
        <w:t xml:space="preserve"> de los principios y estándares </w:t>
      </w:r>
      <w:r>
        <w:rPr>
          <w:szCs w:val="20"/>
          <w:lang w:val="es-CR"/>
        </w:rPr>
        <w:t>establecidos en</w:t>
      </w:r>
      <w:r w:rsidRPr="00896AD5">
        <w:rPr>
          <w:szCs w:val="20"/>
          <w:lang w:val="es-CR"/>
        </w:rPr>
        <w:t xml:space="preserve"> los in</w:t>
      </w:r>
      <w:r>
        <w:rPr>
          <w:szCs w:val="20"/>
          <w:lang w:val="es-CR"/>
        </w:rPr>
        <w:t>strumentos de derechos humanos a</w:t>
      </w:r>
      <w:r w:rsidRPr="00896AD5">
        <w:rPr>
          <w:szCs w:val="20"/>
          <w:lang w:val="es-CR"/>
        </w:rPr>
        <w:t>mericanos</w:t>
      </w:r>
      <w:r>
        <w:rPr>
          <w:szCs w:val="20"/>
          <w:lang w:val="es-CR"/>
        </w:rPr>
        <w:t xml:space="preserve"> e i</w:t>
      </w:r>
      <w:r w:rsidRPr="00896AD5">
        <w:rPr>
          <w:szCs w:val="20"/>
          <w:lang w:val="es-CR"/>
        </w:rPr>
        <w:t>nternacionales, corresponde a la Corte salvaguardar dichos derechos celosamente a través de pronunciamientos y directrices claramente redactadas. Por ende, la Corte, en mi opinión, erró al no haberse pronunciado por lo menos respecto d</w:t>
      </w:r>
      <w:r>
        <w:rPr>
          <w:szCs w:val="20"/>
          <w:lang w:val="es-CR"/>
        </w:rPr>
        <w:t>e</w:t>
      </w:r>
      <w:r w:rsidRPr="00896AD5">
        <w:rPr>
          <w:szCs w:val="20"/>
          <w:lang w:val="es-CR"/>
        </w:rPr>
        <w:t xml:space="preserve"> cuándo la reserva de la identidad de menores o personas que fueron menores dentro del Sistema Interamericano de Derechos Humanos de</w:t>
      </w:r>
      <w:r>
        <w:rPr>
          <w:szCs w:val="20"/>
          <w:lang w:val="es-CR"/>
        </w:rPr>
        <w:t>be</w:t>
      </w:r>
      <w:r w:rsidRPr="00896AD5">
        <w:rPr>
          <w:szCs w:val="20"/>
          <w:lang w:val="es-CR"/>
        </w:rPr>
        <w:t xml:space="preserve"> s</w:t>
      </w:r>
      <w:r>
        <w:rPr>
          <w:szCs w:val="20"/>
          <w:lang w:val="es-CR"/>
        </w:rPr>
        <w:t>er</w:t>
      </w:r>
      <w:r w:rsidRPr="00896AD5">
        <w:rPr>
          <w:szCs w:val="20"/>
          <w:lang w:val="es-CR"/>
        </w:rPr>
        <w:t xml:space="preserve"> efectuada</w:t>
      </w:r>
      <w:r>
        <w:rPr>
          <w:szCs w:val="20"/>
          <w:lang w:val="es-CR"/>
        </w:rPr>
        <w:t xml:space="preserve"> y por qué</w:t>
      </w:r>
      <w:r w:rsidRPr="00896AD5">
        <w:rPr>
          <w:szCs w:val="20"/>
          <w:lang w:val="es-CR"/>
        </w:rPr>
        <w:t>.</w:t>
      </w:r>
    </w:p>
    <w:p w:rsidR="00C8374B" w:rsidRPr="00896AD5" w:rsidRDefault="00C8374B" w:rsidP="00C8374B">
      <w:pPr>
        <w:pStyle w:val="ListParagraph"/>
        <w:tabs>
          <w:tab w:val="left" w:pos="630"/>
        </w:tabs>
        <w:ind w:left="630"/>
        <w:rPr>
          <w:szCs w:val="20"/>
          <w:lang w:val="es-GT"/>
        </w:rPr>
      </w:pPr>
    </w:p>
    <w:p w:rsidR="00C8374B" w:rsidRDefault="00C8374B" w:rsidP="00C8374B">
      <w:pPr>
        <w:pStyle w:val="ListParagraph"/>
        <w:numPr>
          <w:ilvl w:val="0"/>
          <w:numId w:val="5"/>
        </w:numPr>
        <w:tabs>
          <w:tab w:val="left" w:pos="630"/>
        </w:tabs>
        <w:spacing w:after="0" w:line="240" w:lineRule="auto"/>
        <w:ind w:left="630"/>
        <w:jc w:val="both"/>
        <w:rPr>
          <w:szCs w:val="20"/>
          <w:lang w:val="es-ES_tradnl"/>
        </w:rPr>
      </w:pPr>
      <w:r w:rsidRPr="00896AD5">
        <w:rPr>
          <w:szCs w:val="20"/>
          <w:lang w:val="es-GT"/>
        </w:rPr>
        <w:t>C</w:t>
      </w:r>
      <w:proofErr w:type="spellStart"/>
      <w:r w:rsidRPr="00896AD5">
        <w:rPr>
          <w:szCs w:val="20"/>
          <w:lang w:val="es-ES_tradnl"/>
        </w:rPr>
        <w:t>reo</w:t>
      </w:r>
      <w:proofErr w:type="spellEnd"/>
      <w:r w:rsidRPr="00896AD5">
        <w:rPr>
          <w:szCs w:val="20"/>
          <w:lang w:val="es-ES_tradnl"/>
        </w:rPr>
        <w:t xml:space="preserve"> firmemente que todos los menores de edad tienen el derecho a que sus identidades y personas sean protegidas del escrutinio público mientras se encuentren bajo el poder </w:t>
      </w:r>
      <w:r>
        <w:rPr>
          <w:szCs w:val="20"/>
          <w:lang w:val="es-ES_tradnl"/>
        </w:rPr>
        <w:t>del Estado</w:t>
      </w:r>
      <w:r w:rsidRPr="00896AD5">
        <w:rPr>
          <w:szCs w:val="20"/>
          <w:lang w:val="es-ES_tradnl"/>
        </w:rPr>
        <w:t xml:space="preserve"> por ofensas cometidas durante su infancia y, si al cumplir sus condenas han alcanzado la mayoría de edad, dichas condenas no deberían perjudicar ni afectar su futuro como adultos (Artículo 19 y Artículo 40 de la Convención sobre los Derechos del Niño). En algunas jurisdicciones que han avanzado en la codificación de </w:t>
      </w:r>
    </w:p>
    <w:p w:rsidR="00C8374B" w:rsidRPr="00896AD5" w:rsidRDefault="00C8374B" w:rsidP="00C8374B">
      <w:pPr>
        <w:pStyle w:val="ListParagraph"/>
        <w:tabs>
          <w:tab w:val="left" w:pos="630"/>
        </w:tabs>
        <w:ind w:left="630"/>
        <w:rPr>
          <w:szCs w:val="20"/>
          <w:lang w:val="es-ES_tradnl"/>
        </w:rPr>
      </w:pPr>
      <w:proofErr w:type="gramStart"/>
      <w:r w:rsidRPr="00896AD5">
        <w:rPr>
          <w:szCs w:val="20"/>
          <w:lang w:val="es-ES_tradnl"/>
        </w:rPr>
        <w:t>principios</w:t>
      </w:r>
      <w:proofErr w:type="gramEnd"/>
      <w:r w:rsidRPr="00896AD5">
        <w:rPr>
          <w:szCs w:val="20"/>
          <w:lang w:val="es-ES_tradnl"/>
        </w:rPr>
        <w:t xml:space="preserve"> de derechos humanos en la materia, se ha dejado claro que los niños que se encuentren en conflicto con la ley no deben ser expuestos de ninguna manera al público, ni siquiera al ser trasladados desde y hacia los juzgados. Si un niño es condenado, el registro de dicha condena y </w:t>
      </w:r>
      <w:r>
        <w:rPr>
          <w:szCs w:val="20"/>
          <w:lang w:val="es-ES_tradnl"/>
        </w:rPr>
        <w:t xml:space="preserve">la </w:t>
      </w:r>
      <w:r w:rsidRPr="00896AD5">
        <w:rPr>
          <w:szCs w:val="20"/>
          <w:lang w:val="es-ES_tradnl"/>
        </w:rPr>
        <w:t>sentencia</w:t>
      </w:r>
      <w:r>
        <w:rPr>
          <w:szCs w:val="20"/>
          <w:lang w:val="es-ES_tradnl"/>
        </w:rPr>
        <w:t xml:space="preserve"> impuesta</w:t>
      </w:r>
      <w:r w:rsidRPr="00896AD5">
        <w:rPr>
          <w:szCs w:val="20"/>
          <w:lang w:val="es-ES_tradnl"/>
        </w:rPr>
        <w:t xml:space="preserve"> es </w:t>
      </w:r>
      <w:proofErr w:type="gramStart"/>
      <w:r w:rsidRPr="00896AD5">
        <w:rPr>
          <w:szCs w:val="20"/>
          <w:lang w:val="es-ES_tradnl"/>
        </w:rPr>
        <w:t>reservado</w:t>
      </w:r>
      <w:proofErr w:type="gramEnd"/>
      <w:r w:rsidRPr="00896AD5">
        <w:rPr>
          <w:szCs w:val="20"/>
          <w:lang w:val="es-ES_tradnl"/>
        </w:rPr>
        <w:t xml:space="preserve">, incluso una vez alcanzada la mayoría de edad. Se vigilan </w:t>
      </w:r>
      <w:r>
        <w:rPr>
          <w:szCs w:val="20"/>
          <w:lang w:val="es-ES_tradnl"/>
        </w:rPr>
        <w:t>las</w:t>
      </w:r>
      <w:r w:rsidRPr="00896AD5">
        <w:rPr>
          <w:szCs w:val="20"/>
          <w:lang w:val="es-ES_tradnl"/>
        </w:rPr>
        <w:t xml:space="preserve"> condenas carcelarias, </w:t>
      </w:r>
      <w:r>
        <w:rPr>
          <w:szCs w:val="20"/>
          <w:lang w:val="es-ES_tradnl"/>
        </w:rPr>
        <w:t>los</w:t>
      </w:r>
      <w:r w:rsidRPr="00896AD5">
        <w:rPr>
          <w:szCs w:val="20"/>
          <w:lang w:val="es-ES_tradnl"/>
        </w:rPr>
        <w:t xml:space="preserve"> lugares de detención y el trato brindado a </w:t>
      </w:r>
      <w:r>
        <w:rPr>
          <w:szCs w:val="20"/>
          <w:lang w:val="es-ES_tradnl"/>
        </w:rPr>
        <w:t>los niños</w:t>
      </w:r>
      <w:r w:rsidRPr="00896AD5">
        <w:rPr>
          <w:szCs w:val="20"/>
          <w:lang w:val="es-ES_tradnl"/>
        </w:rPr>
        <w:t>, a fin de que cumplan con los estándares internacionales en la materia. Cualquier otra práctica sería contraria a los estándares aceptados en un Estado democrático.</w:t>
      </w:r>
    </w:p>
    <w:p w:rsidR="00C8374B" w:rsidRPr="00896AD5" w:rsidRDefault="00C8374B" w:rsidP="00C8374B">
      <w:pPr>
        <w:tabs>
          <w:tab w:val="left" w:pos="630"/>
        </w:tabs>
        <w:ind w:left="630"/>
        <w:rPr>
          <w:szCs w:val="20"/>
          <w:lang w:val="es-GT"/>
        </w:rPr>
      </w:pPr>
    </w:p>
    <w:p w:rsidR="00C8374B" w:rsidRPr="00896AD5" w:rsidRDefault="00C8374B" w:rsidP="00C8374B">
      <w:pPr>
        <w:pStyle w:val="ListParagraph"/>
        <w:numPr>
          <w:ilvl w:val="0"/>
          <w:numId w:val="5"/>
        </w:numPr>
        <w:tabs>
          <w:tab w:val="left" w:pos="630"/>
        </w:tabs>
        <w:spacing w:after="0" w:line="240" w:lineRule="auto"/>
        <w:ind w:left="630"/>
        <w:jc w:val="both"/>
        <w:rPr>
          <w:szCs w:val="20"/>
          <w:lang w:val="es-ES_tradnl"/>
        </w:rPr>
      </w:pPr>
      <w:r w:rsidRPr="00896AD5">
        <w:rPr>
          <w:szCs w:val="20"/>
          <w:lang w:val="es-ES_tradnl"/>
        </w:rPr>
        <w:t xml:space="preserve">En mi opinión, en asuntos de esta índole, la Corte, como un Tribunal internacional de derechos humanos que trata con casos de menores y de personas que fueron menores, debió haber, </w:t>
      </w:r>
      <w:proofErr w:type="spellStart"/>
      <w:r w:rsidRPr="00896AD5">
        <w:rPr>
          <w:i/>
          <w:szCs w:val="20"/>
          <w:lang w:val="es-ES_tradnl"/>
        </w:rPr>
        <w:t>suo</w:t>
      </w:r>
      <w:proofErr w:type="spellEnd"/>
      <w:r w:rsidRPr="00896AD5">
        <w:rPr>
          <w:i/>
          <w:szCs w:val="20"/>
          <w:lang w:val="es-ES_tradnl"/>
        </w:rPr>
        <w:t xml:space="preserve"> moto</w:t>
      </w:r>
      <w:r w:rsidRPr="00896AD5">
        <w:rPr>
          <w:szCs w:val="20"/>
          <w:lang w:val="es-ES_tradnl"/>
        </w:rPr>
        <w:t>, considerado la cuestión de la reserva de identidad de todas las presuntas víctimas al comienzo del caso y mediante una resolución fundada requiriendo o no dicha reserva. La Resolución de la Corte de 14 de mayo de 2013 desestimando la solicitud de una víctima del caso de que se reservara su identidad en la Sentencia se basó en que había figurado la identidad de aquélla víctima durante todo el trámite del caso y, por ende</w:t>
      </w:r>
      <w:r>
        <w:rPr>
          <w:szCs w:val="20"/>
          <w:lang w:val="es-ES_tradnl"/>
        </w:rPr>
        <w:t>,</w:t>
      </w:r>
      <w:r w:rsidRPr="00896AD5">
        <w:rPr>
          <w:szCs w:val="20"/>
          <w:lang w:val="es-ES_tradnl"/>
        </w:rPr>
        <w:t xml:space="preserve"> ésta había sido ampliamente diseminada hasta el momento en que se dictó la Sentencia. A mi juicio, lo anterior no es de suficiente peso como para denegar la solicitud de reserva. La Sentencia de la Corte perdurará por siempre: será publicada, analizada, ampliamente diseminada, discutida en libros y otras publicaciones y por ende recordada. Los documentos publicados en las distintas etapas del procedimiento del caso, desde mi punto de vista, no tienen el mismo estatus ni permanencia que la Sentencia. Es en la Sentencia donde </w:t>
      </w:r>
      <w:r>
        <w:rPr>
          <w:szCs w:val="20"/>
          <w:lang w:val="es-ES_tradnl"/>
        </w:rPr>
        <w:t>la</w:t>
      </w:r>
      <w:r w:rsidRPr="00896AD5">
        <w:rPr>
          <w:szCs w:val="20"/>
          <w:lang w:val="es-ES_tradnl"/>
        </w:rPr>
        <w:t xml:space="preserve"> identidad </w:t>
      </w:r>
      <w:r>
        <w:rPr>
          <w:szCs w:val="20"/>
          <w:lang w:val="es-ES_tradnl"/>
        </w:rPr>
        <w:t xml:space="preserve">de la víctima </w:t>
      </w:r>
      <w:r w:rsidRPr="00896AD5">
        <w:rPr>
          <w:szCs w:val="20"/>
          <w:lang w:val="es-ES_tradnl"/>
        </w:rPr>
        <w:t xml:space="preserve">realmente será dada a conocer y </w:t>
      </w:r>
      <w:r>
        <w:rPr>
          <w:szCs w:val="20"/>
          <w:lang w:val="es-ES_tradnl"/>
        </w:rPr>
        <w:t xml:space="preserve">estará </w:t>
      </w:r>
      <w:r w:rsidRPr="00896AD5">
        <w:rPr>
          <w:szCs w:val="20"/>
          <w:lang w:val="es-ES_tradnl"/>
        </w:rPr>
        <w:t xml:space="preserve">disponible a la vista de todos. </w:t>
      </w:r>
    </w:p>
    <w:p w:rsidR="00C8374B" w:rsidRPr="00896AD5" w:rsidRDefault="00C8374B" w:rsidP="00C8374B">
      <w:pPr>
        <w:tabs>
          <w:tab w:val="left" w:pos="630"/>
        </w:tabs>
        <w:ind w:left="630"/>
        <w:rPr>
          <w:szCs w:val="20"/>
          <w:lang w:val="es-ES_tradnl"/>
        </w:rPr>
      </w:pPr>
    </w:p>
    <w:p w:rsidR="00C8374B" w:rsidRPr="00896AD5" w:rsidRDefault="00C8374B" w:rsidP="00C8374B">
      <w:pPr>
        <w:pStyle w:val="ListParagraph"/>
        <w:numPr>
          <w:ilvl w:val="0"/>
          <w:numId w:val="5"/>
        </w:numPr>
        <w:tabs>
          <w:tab w:val="left" w:pos="630"/>
        </w:tabs>
        <w:spacing w:after="0" w:line="240" w:lineRule="auto"/>
        <w:ind w:left="630"/>
        <w:jc w:val="both"/>
        <w:rPr>
          <w:szCs w:val="20"/>
          <w:lang w:val="es-ES_tradnl"/>
        </w:rPr>
      </w:pPr>
      <w:r>
        <w:rPr>
          <w:szCs w:val="20"/>
          <w:lang w:val="es-ES_tradnl"/>
        </w:rPr>
        <w:t>E</w:t>
      </w:r>
      <w:r w:rsidRPr="00896AD5">
        <w:rPr>
          <w:szCs w:val="20"/>
          <w:lang w:val="es-ES_tradnl"/>
        </w:rPr>
        <w:t>n mi opinión</w:t>
      </w:r>
      <w:r>
        <w:rPr>
          <w:szCs w:val="20"/>
          <w:lang w:val="es-ES_tradnl"/>
        </w:rPr>
        <w:t>, n</w:t>
      </w:r>
      <w:r w:rsidRPr="00896AD5">
        <w:rPr>
          <w:szCs w:val="20"/>
          <w:lang w:val="es-ES_tradnl"/>
        </w:rPr>
        <w:t>osotros, como Corte, debemos</w:t>
      </w:r>
      <w:r>
        <w:rPr>
          <w:szCs w:val="20"/>
          <w:lang w:val="es-ES_tradnl"/>
        </w:rPr>
        <w:t xml:space="preserve"> </w:t>
      </w:r>
      <w:r w:rsidRPr="00896AD5">
        <w:rPr>
          <w:szCs w:val="20"/>
          <w:lang w:val="es-ES_tradnl"/>
        </w:rPr>
        <w:t xml:space="preserve">– de conformidad con el artículo 19 de la Convención, al cual debe darse el alcance más amplio, como su redacción deja claro, y refiriéndonos a otros instrumentos internacionales para asistir nuestra interpretación –, asegurar que todas la partes apliquen todas las protecciones previstas para los niños mientras sean niños, aun cuando han violado la ley, lo cual no les debe perjudicar una vez hayan alcanzado la mayoría de edad y cumplido su condena. También presento en apoyo de mi tesis, el Artículo </w:t>
      </w:r>
      <w:proofErr w:type="gramStart"/>
      <w:r w:rsidRPr="00896AD5">
        <w:rPr>
          <w:szCs w:val="20"/>
          <w:lang w:val="es-ES_tradnl"/>
        </w:rPr>
        <w:t>40.2.b(</w:t>
      </w:r>
      <w:proofErr w:type="spellStart"/>
      <w:proofErr w:type="gramEnd"/>
      <w:r w:rsidRPr="00896AD5">
        <w:rPr>
          <w:szCs w:val="20"/>
          <w:lang w:val="es-ES_tradnl"/>
        </w:rPr>
        <w:t>vii</w:t>
      </w:r>
      <w:proofErr w:type="spellEnd"/>
      <w:r w:rsidRPr="00896AD5">
        <w:rPr>
          <w:szCs w:val="20"/>
          <w:lang w:val="es-ES_tradnl"/>
        </w:rPr>
        <w:t xml:space="preserve">) de la Convención sobre los Derechos del Niño, que dispone: “Que se respetará plenamente su vida </w:t>
      </w:r>
      <w:r w:rsidRPr="00896AD5">
        <w:rPr>
          <w:szCs w:val="20"/>
          <w:lang w:val="es-ES_tradnl"/>
        </w:rPr>
        <w:lastRenderedPageBreak/>
        <w:t xml:space="preserve">privada en todas las fases del procedimiento”. Debe recordarse que el Artículo 40 de la Convención sobre los Derechos del Niño trata, </w:t>
      </w:r>
      <w:r w:rsidRPr="00896AD5">
        <w:rPr>
          <w:i/>
          <w:szCs w:val="20"/>
          <w:lang w:val="es-ES_tradnl"/>
        </w:rPr>
        <w:t xml:space="preserve">inter </w:t>
      </w:r>
      <w:proofErr w:type="spellStart"/>
      <w:r w:rsidRPr="00896AD5">
        <w:rPr>
          <w:i/>
          <w:szCs w:val="20"/>
          <w:lang w:val="es-ES_tradnl"/>
        </w:rPr>
        <w:t>alia</w:t>
      </w:r>
      <w:proofErr w:type="spellEnd"/>
      <w:r w:rsidRPr="00896AD5">
        <w:rPr>
          <w:szCs w:val="20"/>
          <w:lang w:val="es-ES_tradnl"/>
        </w:rPr>
        <w:t>, con los derechos de los niños en conflicto con la ley y la importancia de que el trato que reciban tenga el fin de promover su rehabilitación y su reintegración a la sociedad, así como de fomentar su desarrollo para que puedan asumir roles constructivos dentro de su sociedad. Lo anterior, a fin que de que puedan en todo momento, durante y después de su tiempo bajo la custodia del Estado, lograr y retener su sentido de dignidad y de autoestima como personas</w:t>
      </w:r>
      <w:r>
        <w:rPr>
          <w:szCs w:val="20"/>
          <w:lang w:val="es-ES_tradnl"/>
        </w:rPr>
        <w:t xml:space="preserve"> humanas</w:t>
      </w:r>
      <w:r w:rsidRPr="00896AD5">
        <w:rPr>
          <w:szCs w:val="20"/>
          <w:lang w:val="es-ES_tradnl"/>
        </w:rPr>
        <w:t>.</w:t>
      </w:r>
    </w:p>
    <w:p w:rsidR="00C8374B" w:rsidRPr="00896AD5" w:rsidRDefault="00C8374B" w:rsidP="00C8374B">
      <w:pPr>
        <w:rPr>
          <w:szCs w:val="20"/>
          <w:lang w:val="es-ES_tradnl"/>
        </w:rPr>
      </w:pPr>
    </w:p>
    <w:p w:rsidR="00C8374B" w:rsidRPr="001D484B" w:rsidRDefault="00C8374B" w:rsidP="00C8374B">
      <w:pPr>
        <w:rPr>
          <w:szCs w:val="20"/>
          <w:lang w:val="es-ES_tradnl"/>
        </w:rPr>
      </w:pPr>
      <w:r w:rsidRPr="001D484B">
        <w:rPr>
          <w:szCs w:val="20"/>
          <w:lang w:val="es-ES_tradnl"/>
        </w:rPr>
        <w:t>En conclusión, a mi juicio la Corte debió admitir la solicitud de una víctima de que se reservara su identidad y, a través de directrices, debió guiar a las partes y a los Estados en cuanto a cómo actuar cuando un niño es sujeto de un caso dentro de nuestro sistema de derechos humanos. La cuestión estuvo ante la Corte para su completa consideración cuando el caso fue sometido ante ella. La mera negación de dicha solicitud con base en publicaciones previas deja mucho que desear de la Corte.</w:t>
      </w:r>
    </w:p>
    <w:p w:rsidR="00C8374B" w:rsidRPr="00896AD5" w:rsidRDefault="00C8374B" w:rsidP="00C8374B">
      <w:pPr>
        <w:pStyle w:val="ListParagraph"/>
        <w:ind w:left="760"/>
        <w:rPr>
          <w:szCs w:val="20"/>
          <w:lang w:val="es-GT"/>
        </w:rPr>
      </w:pPr>
      <w:r w:rsidRPr="00896AD5">
        <w:rPr>
          <w:szCs w:val="20"/>
          <w:lang w:val="es-GT"/>
        </w:rPr>
        <w:t xml:space="preserve"> </w:t>
      </w:r>
    </w:p>
    <w:p w:rsidR="00C8374B" w:rsidRPr="001D484B" w:rsidRDefault="00C8374B" w:rsidP="00C8374B">
      <w:pPr>
        <w:rPr>
          <w:szCs w:val="20"/>
          <w:lang w:val="es-GT"/>
        </w:rPr>
      </w:pPr>
      <w:r w:rsidRPr="001D484B">
        <w:rPr>
          <w:szCs w:val="20"/>
          <w:lang w:val="es-GT"/>
        </w:rPr>
        <w:t xml:space="preserve">Jueza Margarette </w:t>
      </w:r>
      <w:proofErr w:type="spellStart"/>
      <w:r w:rsidRPr="001D484B">
        <w:rPr>
          <w:szCs w:val="20"/>
          <w:lang w:val="es-GT"/>
        </w:rPr>
        <w:t>May</w:t>
      </w:r>
      <w:proofErr w:type="spellEnd"/>
      <w:r w:rsidRPr="001D484B">
        <w:rPr>
          <w:szCs w:val="20"/>
          <w:lang w:val="es-GT"/>
        </w:rPr>
        <w:t xml:space="preserve"> </w:t>
      </w:r>
      <w:proofErr w:type="spellStart"/>
      <w:r w:rsidRPr="001D484B">
        <w:rPr>
          <w:szCs w:val="20"/>
          <w:lang w:val="es-GT"/>
        </w:rPr>
        <w:t>Macaulay</w:t>
      </w:r>
      <w:proofErr w:type="spellEnd"/>
      <w:r w:rsidRPr="001D484B">
        <w:rPr>
          <w:szCs w:val="20"/>
          <w:lang w:val="es-GT"/>
        </w:rPr>
        <w:t>,</w:t>
      </w:r>
    </w:p>
    <w:p w:rsidR="00C8374B" w:rsidRDefault="00C8374B" w:rsidP="00C8374B">
      <w:pPr>
        <w:rPr>
          <w:szCs w:val="20"/>
          <w:lang w:val="es-GT"/>
        </w:rPr>
      </w:pPr>
      <w:r w:rsidRPr="001D484B">
        <w:rPr>
          <w:szCs w:val="20"/>
          <w:lang w:val="es-GT"/>
        </w:rPr>
        <w:t>12 de junio de 2013</w:t>
      </w:r>
    </w:p>
    <w:p w:rsidR="00C8374B" w:rsidRDefault="00C8374B" w:rsidP="00C8374B">
      <w:pPr>
        <w:rPr>
          <w:szCs w:val="20"/>
          <w:lang w:val="es-GT"/>
        </w:rPr>
      </w:pPr>
      <w:r>
        <w:rPr>
          <w:szCs w:val="20"/>
          <w:lang w:val="es-GT"/>
        </w:rPr>
        <w:br w:type="page"/>
      </w:r>
    </w:p>
    <w:p w:rsidR="00C8374B" w:rsidRPr="00C8374B" w:rsidRDefault="00C8374B" w:rsidP="00C8374B">
      <w:pPr>
        <w:jc w:val="center"/>
        <w:rPr>
          <w:lang w:val="es-ES"/>
        </w:rPr>
      </w:pPr>
    </w:p>
    <w:p w:rsidR="00C8374B" w:rsidRPr="00C8374B" w:rsidRDefault="00C8374B" w:rsidP="00C8374B">
      <w:pPr>
        <w:jc w:val="center"/>
        <w:rPr>
          <w:lang w:val="es-ES"/>
        </w:rPr>
      </w:pPr>
    </w:p>
    <w:p w:rsidR="00C8374B" w:rsidRDefault="00C8374B" w:rsidP="00C8374B">
      <w:pPr>
        <w:rPr>
          <w:lang w:val="pt-BR"/>
        </w:rPr>
      </w:pPr>
    </w:p>
    <w:p w:rsidR="00C8374B" w:rsidRDefault="00C8374B" w:rsidP="00C8374B">
      <w:pPr>
        <w:rPr>
          <w:lang w:val="pt-BR"/>
        </w:rPr>
      </w:pPr>
    </w:p>
    <w:p w:rsidR="00C8374B" w:rsidRPr="005A3F61" w:rsidRDefault="00C8374B" w:rsidP="00C8374B">
      <w:pPr>
        <w:jc w:val="center"/>
        <w:rPr>
          <w:lang w:val="pt-BR"/>
        </w:rPr>
      </w:pPr>
      <w:r w:rsidRPr="00994BD5">
        <w:rPr>
          <w:lang w:val="es-ES"/>
        </w:rPr>
        <w:t xml:space="preserve">Margarette </w:t>
      </w:r>
      <w:proofErr w:type="spellStart"/>
      <w:r w:rsidRPr="00994BD5">
        <w:rPr>
          <w:lang w:val="es-ES"/>
        </w:rPr>
        <w:t>May</w:t>
      </w:r>
      <w:proofErr w:type="spellEnd"/>
      <w:r w:rsidRPr="00994BD5">
        <w:rPr>
          <w:lang w:val="es-ES"/>
        </w:rPr>
        <w:t xml:space="preserve"> </w:t>
      </w:r>
      <w:proofErr w:type="spellStart"/>
      <w:r w:rsidRPr="00994BD5">
        <w:rPr>
          <w:lang w:val="es-ES"/>
        </w:rPr>
        <w:t>Macaulay</w:t>
      </w:r>
      <w:proofErr w:type="spellEnd"/>
    </w:p>
    <w:p w:rsidR="00C8374B" w:rsidRPr="005A3F61" w:rsidRDefault="00C8374B" w:rsidP="00C8374B">
      <w:pPr>
        <w:rPr>
          <w:lang w:val="pt-BR"/>
        </w:rPr>
      </w:pPr>
    </w:p>
    <w:p w:rsidR="00C8374B" w:rsidRPr="00567723" w:rsidRDefault="00C8374B" w:rsidP="00C8374B">
      <w:pPr>
        <w:rPr>
          <w:lang w:val="es-ES"/>
        </w:rPr>
      </w:pPr>
    </w:p>
    <w:p w:rsidR="00C8374B" w:rsidRPr="00567723" w:rsidRDefault="00C8374B" w:rsidP="00C8374B">
      <w:pPr>
        <w:rPr>
          <w:lang w:val="es-ES"/>
        </w:rPr>
      </w:pPr>
    </w:p>
    <w:p w:rsidR="00C8374B" w:rsidRPr="00342ADE" w:rsidRDefault="00C8374B" w:rsidP="00C8374B">
      <w:pPr>
        <w:jc w:val="center"/>
      </w:pPr>
      <w:r w:rsidRPr="00342ADE">
        <w:t xml:space="preserve">Pablo Saavedra </w:t>
      </w:r>
      <w:proofErr w:type="spellStart"/>
      <w:r w:rsidRPr="00342ADE">
        <w:t>Alessandri</w:t>
      </w:r>
      <w:proofErr w:type="spellEnd"/>
    </w:p>
    <w:p w:rsidR="00C8374B" w:rsidRPr="00342ADE" w:rsidRDefault="00C8374B" w:rsidP="00C8374B">
      <w:pPr>
        <w:ind w:left="2880" w:firstLine="720"/>
      </w:pPr>
      <w:r>
        <w:t xml:space="preserve">            </w:t>
      </w:r>
      <w:proofErr w:type="spellStart"/>
      <w:r w:rsidRPr="00342ADE">
        <w:t>Secretario</w:t>
      </w:r>
      <w:proofErr w:type="spellEnd"/>
    </w:p>
    <w:p w:rsidR="00C8374B" w:rsidRPr="00342ADE" w:rsidRDefault="00C8374B" w:rsidP="00C8374B"/>
    <w:p w:rsidR="00C8374B" w:rsidRPr="00342ADE" w:rsidRDefault="00C8374B" w:rsidP="00C8374B"/>
    <w:p w:rsidR="00C8374B" w:rsidRPr="00342ADE" w:rsidRDefault="00C8374B" w:rsidP="00C8374B"/>
    <w:p w:rsidR="00C8374B" w:rsidRPr="00342ADE" w:rsidRDefault="00C8374B" w:rsidP="00C8374B"/>
    <w:p w:rsidR="00C8374B" w:rsidRPr="00342ADE" w:rsidRDefault="00C8374B" w:rsidP="00C8374B"/>
    <w:p w:rsidR="00C8374B" w:rsidRPr="00342ADE" w:rsidRDefault="00C8374B" w:rsidP="00C8374B"/>
    <w:p w:rsidR="00C8374B" w:rsidRPr="00342ADE" w:rsidRDefault="00C8374B" w:rsidP="00C8374B">
      <w:proofErr w:type="spellStart"/>
      <w:r w:rsidRPr="00342ADE">
        <w:t>Comuníquese</w:t>
      </w:r>
      <w:proofErr w:type="spellEnd"/>
      <w:r w:rsidRPr="00342ADE">
        <w:t xml:space="preserve"> </w:t>
      </w:r>
    </w:p>
    <w:p w:rsidR="00C8374B" w:rsidRPr="00342ADE" w:rsidRDefault="00C8374B" w:rsidP="00C8374B"/>
    <w:p w:rsidR="00C8374B" w:rsidRPr="00342ADE" w:rsidRDefault="00C8374B" w:rsidP="00C8374B"/>
    <w:p w:rsidR="00C8374B" w:rsidRPr="00342ADE" w:rsidRDefault="00C8374B" w:rsidP="00C8374B"/>
    <w:p w:rsidR="00C8374B" w:rsidRPr="00342ADE" w:rsidRDefault="00C8374B" w:rsidP="00C8374B"/>
    <w:p w:rsidR="00C8374B" w:rsidRDefault="00C8374B" w:rsidP="00C8374B">
      <w:r>
        <w:t xml:space="preserve">Pablo Saavedra </w:t>
      </w:r>
      <w:proofErr w:type="spellStart"/>
      <w:r>
        <w:t>Alessandri</w:t>
      </w:r>
      <w:proofErr w:type="spellEnd"/>
    </w:p>
    <w:p w:rsidR="00C8374B" w:rsidRDefault="00C8374B" w:rsidP="00C8374B">
      <w:r>
        <w:tab/>
      </w:r>
      <w:proofErr w:type="spellStart"/>
      <w:r>
        <w:t>Secretario</w:t>
      </w:r>
      <w:proofErr w:type="spellEnd"/>
      <w:r>
        <w:t xml:space="preserve"> </w:t>
      </w:r>
    </w:p>
    <w:p w:rsidR="00C8374B" w:rsidRDefault="00C8374B" w:rsidP="00C8374B"/>
    <w:p w:rsidR="00C8374B" w:rsidRPr="00EF7C5E" w:rsidRDefault="00C8374B" w:rsidP="00C8374B"/>
    <w:p w:rsidR="00C8374B" w:rsidRPr="006B7744" w:rsidRDefault="00C8374B" w:rsidP="00C8374B">
      <w:pPr>
        <w:rPr>
          <w:szCs w:val="20"/>
          <w:lang w:val="es-GT"/>
        </w:rPr>
      </w:pPr>
    </w:p>
    <w:p w:rsidR="007C1FAC" w:rsidRPr="00582C3B" w:rsidRDefault="007C1FAC" w:rsidP="003F64EA">
      <w:pPr>
        <w:pStyle w:val="ListParagraph"/>
        <w:spacing w:after="0"/>
        <w:ind w:left="0"/>
        <w:jc w:val="both"/>
        <w:rPr>
          <w:rFonts w:ascii="Verdana" w:hAnsi="Verdana"/>
          <w:sz w:val="20"/>
          <w:szCs w:val="20"/>
          <w:lang w:val="es-ES"/>
        </w:rPr>
      </w:pPr>
    </w:p>
    <w:sectPr w:rsidR="007C1FAC" w:rsidRPr="00582C3B" w:rsidSect="009F6CBB">
      <w:pgSz w:w="11900" w:h="16840"/>
      <w:pgMar w:top="1440" w:right="1280" w:bottom="1440" w:left="126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717" w:rsidRDefault="00CF4717" w:rsidP="006F3C2F">
      <w:pPr>
        <w:spacing w:after="0" w:line="240" w:lineRule="auto"/>
      </w:pPr>
      <w:r>
        <w:separator/>
      </w:r>
    </w:p>
  </w:endnote>
  <w:endnote w:type="continuationSeparator" w:id="0">
    <w:p w:rsidR="00CF4717" w:rsidRDefault="00CF4717" w:rsidP="006F3C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altName w:val="Arial"/>
    <w:charset w:val="00"/>
    <w:family w:val="swiss"/>
    <w:pitch w:val="variable"/>
    <w:sig w:usb0="00000003" w:usb1="00000000" w:usb2="00000000" w:usb3="00000000" w:csb0="00000001" w:csb1="00000000"/>
  </w:font>
  <w:font w:name="Estrangelo Edessa">
    <w:panose1 w:val="030806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717" w:rsidRDefault="00CF4717" w:rsidP="006F3C2F">
      <w:pPr>
        <w:spacing w:after="0" w:line="240" w:lineRule="auto"/>
      </w:pPr>
      <w:r>
        <w:separator/>
      </w:r>
    </w:p>
  </w:footnote>
  <w:footnote w:type="continuationSeparator" w:id="0">
    <w:p w:rsidR="00CF4717" w:rsidRDefault="00CF4717" w:rsidP="006F3C2F">
      <w:pPr>
        <w:spacing w:after="0" w:line="240" w:lineRule="auto"/>
      </w:pPr>
      <w:r>
        <w:continuationSeparator/>
      </w:r>
    </w:p>
  </w:footnote>
  <w:footnote w:id="1">
    <w:p w:rsidR="00D7781B" w:rsidRPr="002A4F42" w:rsidRDefault="009754CD" w:rsidP="006F007A">
      <w:pPr>
        <w:pStyle w:val="FootnoteText"/>
        <w:jc w:val="both"/>
        <w:rPr>
          <w:rFonts w:ascii="Verdana" w:hAnsi="Verdana"/>
          <w:sz w:val="16"/>
          <w:szCs w:val="16"/>
          <w:lang w:val="es-ES"/>
        </w:rPr>
      </w:pPr>
      <w:r w:rsidRPr="002A4F42">
        <w:rPr>
          <w:rStyle w:val="FootnoteReference"/>
          <w:rFonts w:ascii="Verdana" w:hAnsi="Verdana"/>
          <w:sz w:val="16"/>
          <w:szCs w:val="16"/>
          <w:lang w:val="es-CR"/>
        </w:rPr>
        <w:t>*</w:t>
      </w:r>
      <w:r w:rsidRPr="002A4F42">
        <w:rPr>
          <w:rFonts w:ascii="Verdana" w:hAnsi="Verdana"/>
          <w:sz w:val="16"/>
          <w:szCs w:val="16"/>
          <w:lang w:val="es-CR"/>
        </w:rPr>
        <w:t xml:space="preserve"> </w:t>
      </w:r>
      <w:r w:rsidRPr="002A4F42">
        <w:rPr>
          <w:rFonts w:ascii="Verdana" w:hAnsi="Verdana"/>
          <w:sz w:val="16"/>
          <w:szCs w:val="16"/>
          <w:lang w:val="es-CR"/>
        </w:rPr>
        <w:tab/>
        <w:t xml:space="preserve">De conformidad con el artículo 17 del Reglamento </w:t>
      </w:r>
      <w:r w:rsidRPr="002A4F42">
        <w:rPr>
          <w:rFonts w:ascii="Verdana" w:hAnsi="Verdana"/>
          <w:sz w:val="16"/>
          <w:szCs w:val="16"/>
          <w:lang w:val="es-ES"/>
        </w:rPr>
        <w:t xml:space="preserve">de la Corte aprobado en su LXXXV Período Ordinario de Sesiones, celebrado del 16 al 28 de noviembre de 2009, en la deliberación y firma de la presente Resolución participaron los jueces Diego García-Sayán, Presidente, Manuel </w:t>
      </w:r>
      <w:r w:rsidR="00D7781B" w:rsidRPr="002A4F42">
        <w:rPr>
          <w:rFonts w:ascii="Verdana" w:hAnsi="Verdana"/>
          <w:sz w:val="16"/>
          <w:szCs w:val="16"/>
          <w:lang w:val="es-ES"/>
        </w:rPr>
        <w:t xml:space="preserve">E. </w:t>
      </w:r>
      <w:r w:rsidRPr="002A4F42">
        <w:rPr>
          <w:rFonts w:ascii="Verdana" w:hAnsi="Verdana"/>
          <w:sz w:val="16"/>
          <w:szCs w:val="16"/>
          <w:lang w:val="es-ES"/>
        </w:rPr>
        <w:t>Ventura Robles, Vice</w:t>
      </w:r>
      <w:r w:rsidR="00D71DED" w:rsidRPr="002A4F42">
        <w:rPr>
          <w:rFonts w:ascii="Verdana" w:hAnsi="Verdana"/>
          <w:sz w:val="16"/>
          <w:szCs w:val="16"/>
          <w:lang w:val="es-ES"/>
        </w:rPr>
        <w:t>p</w:t>
      </w:r>
      <w:r w:rsidRPr="002A4F42">
        <w:rPr>
          <w:rFonts w:ascii="Verdana" w:hAnsi="Verdana"/>
          <w:sz w:val="16"/>
          <w:szCs w:val="16"/>
          <w:lang w:val="es-ES"/>
        </w:rPr>
        <w:t>residen</w:t>
      </w:r>
      <w:r w:rsidR="00A045D1">
        <w:rPr>
          <w:rFonts w:ascii="Verdana" w:hAnsi="Verdana"/>
          <w:sz w:val="16"/>
          <w:szCs w:val="16"/>
          <w:lang w:val="es-ES"/>
        </w:rPr>
        <w:t xml:space="preserve">te, Margarette </w:t>
      </w:r>
      <w:proofErr w:type="spellStart"/>
      <w:r w:rsidR="00A045D1">
        <w:rPr>
          <w:rFonts w:ascii="Verdana" w:hAnsi="Verdana"/>
          <w:sz w:val="16"/>
          <w:szCs w:val="16"/>
          <w:lang w:val="es-ES"/>
        </w:rPr>
        <w:t>May</w:t>
      </w:r>
      <w:proofErr w:type="spellEnd"/>
      <w:r w:rsidR="00A045D1">
        <w:rPr>
          <w:rFonts w:ascii="Verdana" w:hAnsi="Verdana"/>
          <w:sz w:val="16"/>
          <w:szCs w:val="16"/>
          <w:lang w:val="es-ES"/>
        </w:rPr>
        <w:t xml:space="preserve"> </w:t>
      </w:r>
      <w:proofErr w:type="spellStart"/>
      <w:r w:rsidR="00A045D1">
        <w:rPr>
          <w:rFonts w:ascii="Verdana" w:hAnsi="Verdana"/>
          <w:sz w:val="16"/>
          <w:szCs w:val="16"/>
          <w:lang w:val="es-ES"/>
        </w:rPr>
        <w:t>Macaulay</w:t>
      </w:r>
      <w:proofErr w:type="spellEnd"/>
      <w:r w:rsidR="00A045D1">
        <w:rPr>
          <w:rFonts w:ascii="Verdana" w:hAnsi="Verdana"/>
          <w:sz w:val="16"/>
          <w:szCs w:val="16"/>
          <w:lang w:val="es-ES"/>
        </w:rPr>
        <w:t>,</w:t>
      </w:r>
      <w:r w:rsidRPr="002A4F42">
        <w:rPr>
          <w:rFonts w:ascii="Verdana" w:hAnsi="Verdana"/>
          <w:sz w:val="16"/>
          <w:szCs w:val="16"/>
          <w:lang w:val="es-ES"/>
        </w:rPr>
        <w:t xml:space="preserve"> </w:t>
      </w:r>
      <w:proofErr w:type="spellStart"/>
      <w:r w:rsidRPr="002A4F42">
        <w:rPr>
          <w:rFonts w:ascii="Verdana" w:hAnsi="Verdana"/>
          <w:sz w:val="16"/>
          <w:szCs w:val="16"/>
          <w:lang w:val="es-ES"/>
        </w:rPr>
        <w:t>Rhadys</w:t>
      </w:r>
      <w:proofErr w:type="spellEnd"/>
      <w:r w:rsidRPr="002A4F42">
        <w:rPr>
          <w:rFonts w:ascii="Verdana" w:hAnsi="Verdana"/>
          <w:sz w:val="16"/>
          <w:szCs w:val="16"/>
          <w:lang w:val="es-ES"/>
        </w:rPr>
        <w:t xml:space="preserve"> Abreu </w:t>
      </w:r>
      <w:proofErr w:type="spellStart"/>
      <w:r w:rsidRPr="002A4F42">
        <w:rPr>
          <w:rFonts w:ascii="Verdana" w:hAnsi="Verdana"/>
          <w:sz w:val="16"/>
          <w:szCs w:val="16"/>
          <w:lang w:val="es-ES"/>
        </w:rPr>
        <w:t>Blondet</w:t>
      </w:r>
      <w:proofErr w:type="spellEnd"/>
      <w:r w:rsidR="00A045D1">
        <w:rPr>
          <w:rFonts w:ascii="Verdana" w:hAnsi="Verdana"/>
          <w:sz w:val="16"/>
          <w:szCs w:val="16"/>
          <w:lang w:val="es-ES"/>
        </w:rPr>
        <w:t xml:space="preserve"> y Alberto Pérez </w:t>
      </w:r>
      <w:proofErr w:type="spellStart"/>
      <w:r w:rsidR="00A045D1">
        <w:rPr>
          <w:rFonts w:ascii="Verdana" w:hAnsi="Verdana"/>
          <w:sz w:val="16"/>
          <w:szCs w:val="16"/>
          <w:lang w:val="es-ES"/>
        </w:rPr>
        <w:t>Pérez</w:t>
      </w:r>
      <w:proofErr w:type="spellEnd"/>
      <w:r w:rsidRPr="002A4F42">
        <w:rPr>
          <w:rFonts w:ascii="Verdana" w:hAnsi="Verdana"/>
          <w:sz w:val="16"/>
          <w:szCs w:val="16"/>
          <w:lang w:val="es-ES"/>
        </w:rPr>
        <w:t>. E</w:t>
      </w:r>
      <w:r w:rsidRPr="002A4F42">
        <w:rPr>
          <w:rFonts w:ascii="Verdana" w:hAnsi="Verdana"/>
          <w:sz w:val="16"/>
          <w:szCs w:val="16"/>
          <w:lang w:val="es-CR"/>
        </w:rPr>
        <w:t xml:space="preserve">l Juez Leonardo A. Franco, de nacionalidad argentina, no participó en </w:t>
      </w:r>
      <w:r w:rsidR="00D71DED" w:rsidRPr="002A4F42">
        <w:rPr>
          <w:rFonts w:ascii="Verdana" w:hAnsi="Verdana"/>
          <w:sz w:val="16"/>
          <w:szCs w:val="16"/>
          <w:lang w:val="es-ES"/>
        </w:rPr>
        <w:t xml:space="preserve">el presente caso ni en la deliberación y firma de la presente Resolución, </w:t>
      </w:r>
      <w:r w:rsidRPr="002A4F42">
        <w:rPr>
          <w:rFonts w:ascii="Verdana" w:hAnsi="Verdana"/>
          <w:sz w:val="16"/>
          <w:szCs w:val="16"/>
          <w:lang w:val="es-CR"/>
        </w:rPr>
        <w:t xml:space="preserve">de conformidad con </w:t>
      </w:r>
      <w:r w:rsidR="00CC7C66" w:rsidRPr="002A4F42">
        <w:rPr>
          <w:rFonts w:ascii="Verdana" w:hAnsi="Verdana"/>
          <w:sz w:val="16"/>
          <w:szCs w:val="16"/>
          <w:lang w:val="es-ES"/>
        </w:rPr>
        <w:t>el artículo</w:t>
      </w:r>
      <w:r w:rsidR="00D71DED" w:rsidRPr="002A4F42">
        <w:rPr>
          <w:rFonts w:ascii="Verdana" w:hAnsi="Verdana"/>
          <w:sz w:val="16"/>
          <w:szCs w:val="16"/>
          <w:lang w:val="es-ES"/>
        </w:rPr>
        <w:t xml:space="preserve"> 19.1 del Reglamento de la Corte</w:t>
      </w:r>
      <w:r w:rsidRPr="002A4F42">
        <w:rPr>
          <w:rFonts w:ascii="Verdana" w:hAnsi="Verdana"/>
          <w:sz w:val="16"/>
          <w:szCs w:val="16"/>
          <w:lang w:val="es-CR"/>
        </w:rPr>
        <w:t xml:space="preserve">. Asimismo, </w:t>
      </w:r>
      <w:r w:rsidR="003D263F" w:rsidRPr="002A4F42">
        <w:rPr>
          <w:rFonts w:ascii="Verdana" w:hAnsi="Verdana"/>
          <w:sz w:val="16"/>
          <w:szCs w:val="16"/>
          <w:lang w:val="es-ES"/>
        </w:rPr>
        <w:t xml:space="preserve">el Juez Eduardo Vio Grossi informó al Tribunal que, por motivos de fuerza mayor, no podía estar presente en la deliberación y firma de </w:t>
      </w:r>
      <w:r w:rsidRPr="002A4F42">
        <w:rPr>
          <w:rFonts w:ascii="Verdana" w:hAnsi="Verdana"/>
          <w:sz w:val="16"/>
          <w:szCs w:val="16"/>
          <w:lang w:val="es-ES"/>
        </w:rPr>
        <w:t>esta</w:t>
      </w:r>
      <w:r w:rsidR="003D263F" w:rsidRPr="002A4F42">
        <w:rPr>
          <w:rFonts w:ascii="Verdana" w:hAnsi="Verdana"/>
          <w:sz w:val="16"/>
          <w:szCs w:val="16"/>
          <w:lang w:val="es-ES"/>
        </w:rPr>
        <w:t xml:space="preserve"> Resolución.</w:t>
      </w:r>
    </w:p>
  </w:footnote>
  <w:footnote w:id="2">
    <w:p w:rsidR="009754CD" w:rsidRPr="002A4F42" w:rsidRDefault="009754CD" w:rsidP="00E62474">
      <w:pPr>
        <w:pStyle w:val="FootnoteText"/>
        <w:jc w:val="both"/>
        <w:rPr>
          <w:rFonts w:ascii="Verdana" w:hAnsi="Verdana"/>
          <w:sz w:val="16"/>
          <w:szCs w:val="16"/>
          <w:lang w:val="es-PR"/>
        </w:rPr>
      </w:pPr>
      <w:r w:rsidRPr="002A4F42">
        <w:rPr>
          <w:rStyle w:val="FootnoteReference"/>
          <w:rFonts w:ascii="Verdana" w:hAnsi="Verdana"/>
          <w:sz w:val="16"/>
          <w:szCs w:val="16"/>
        </w:rPr>
        <w:footnoteRef/>
      </w:r>
      <w:r w:rsidRPr="002A4F42">
        <w:rPr>
          <w:rFonts w:ascii="Verdana" w:hAnsi="Verdana"/>
          <w:sz w:val="16"/>
          <w:szCs w:val="16"/>
          <w:lang w:val="es-ES"/>
        </w:rPr>
        <w:t xml:space="preserve"> </w:t>
      </w:r>
      <w:r w:rsidR="00E62474" w:rsidRPr="002A4F42">
        <w:rPr>
          <w:rFonts w:ascii="Verdana" w:hAnsi="Verdana"/>
          <w:sz w:val="16"/>
          <w:szCs w:val="16"/>
          <w:lang w:val="es-ES"/>
        </w:rPr>
        <w:tab/>
      </w:r>
      <w:r w:rsidR="00A0064D" w:rsidRPr="002A4F42">
        <w:rPr>
          <w:rFonts w:ascii="Verdana" w:hAnsi="Verdana"/>
          <w:i/>
          <w:sz w:val="16"/>
          <w:szCs w:val="16"/>
          <w:lang w:val="es-ES"/>
        </w:rPr>
        <w:t>Cfr</w:t>
      </w:r>
      <w:r w:rsidRPr="002A4F42">
        <w:rPr>
          <w:rFonts w:ascii="Verdana" w:hAnsi="Verdana"/>
          <w:sz w:val="16"/>
          <w:szCs w:val="16"/>
          <w:lang w:val="es-ES"/>
        </w:rPr>
        <w:t xml:space="preserve">. Escrito de Sometimiento del Caso </w:t>
      </w:r>
      <w:r w:rsidRPr="002A4F42">
        <w:rPr>
          <w:rFonts w:ascii="Verdana" w:hAnsi="Verdana"/>
          <w:sz w:val="16"/>
          <w:szCs w:val="16"/>
          <w:lang w:val="es-CR"/>
        </w:rPr>
        <w:t>12.</w:t>
      </w:r>
      <w:r w:rsidR="006D7829" w:rsidRPr="002A4F42">
        <w:rPr>
          <w:rFonts w:ascii="Verdana" w:hAnsi="Verdana"/>
          <w:sz w:val="16"/>
          <w:szCs w:val="16"/>
          <w:lang w:val="es-CR"/>
        </w:rPr>
        <w:t>6</w:t>
      </w:r>
      <w:r w:rsidRPr="002A4F42">
        <w:rPr>
          <w:rFonts w:ascii="Verdana" w:hAnsi="Verdana"/>
          <w:sz w:val="16"/>
          <w:szCs w:val="16"/>
          <w:lang w:val="es-CR"/>
        </w:rPr>
        <w:t>51</w:t>
      </w:r>
      <w:r w:rsidR="003D263F" w:rsidRPr="002A4F42">
        <w:rPr>
          <w:rFonts w:ascii="Verdana" w:hAnsi="Verdana"/>
          <w:i/>
          <w:sz w:val="16"/>
          <w:szCs w:val="16"/>
          <w:lang w:val="es-CR"/>
        </w:rPr>
        <w:t xml:space="preserve"> César Alberto Mendoza y Otros (Prisión y Reclusión Perpetuas de Adolescentes)</w:t>
      </w:r>
      <w:r w:rsidR="004B0D11" w:rsidRPr="002A4F42">
        <w:rPr>
          <w:rFonts w:ascii="Verdana" w:hAnsi="Verdana"/>
          <w:sz w:val="16"/>
          <w:szCs w:val="16"/>
          <w:lang w:val="es-CR"/>
        </w:rPr>
        <w:t>,</w:t>
      </w:r>
      <w:r w:rsidR="00751D85" w:rsidRPr="002A4F42">
        <w:rPr>
          <w:rFonts w:ascii="Verdana" w:hAnsi="Verdana"/>
          <w:sz w:val="16"/>
          <w:szCs w:val="16"/>
          <w:lang w:val="es-ES"/>
        </w:rPr>
        <w:t xml:space="preserve"> Argentina</w:t>
      </w:r>
      <w:r w:rsidR="00751D85" w:rsidRPr="002A4F42">
        <w:rPr>
          <w:rFonts w:ascii="Verdana" w:hAnsi="Verdana"/>
          <w:i/>
          <w:sz w:val="16"/>
          <w:szCs w:val="16"/>
          <w:lang w:val="es-CR"/>
        </w:rPr>
        <w:t xml:space="preserve"> </w:t>
      </w:r>
      <w:r w:rsidRPr="002A4F42">
        <w:rPr>
          <w:rFonts w:ascii="Verdana" w:hAnsi="Verdana"/>
          <w:sz w:val="16"/>
          <w:szCs w:val="16"/>
          <w:lang w:val="es-ES"/>
        </w:rPr>
        <w:t xml:space="preserve">(expediente de fondo, </w:t>
      </w:r>
      <w:r w:rsidR="00CC7C66" w:rsidRPr="002A4F42">
        <w:rPr>
          <w:rFonts w:ascii="Verdana" w:hAnsi="Verdana"/>
          <w:sz w:val="16"/>
          <w:szCs w:val="16"/>
          <w:lang w:val="es-ES"/>
        </w:rPr>
        <w:t>t</w:t>
      </w:r>
      <w:r w:rsidRPr="002A4F42">
        <w:rPr>
          <w:rFonts w:ascii="Verdana" w:hAnsi="Verdana"/>
          <w:sz w:val="16"/>
          <w:szCs w:val="16"/>
          <w:lang w:val="es-ES"/>
        </w:rPr>
        <w:t>omo I, folio 2)</w:t>
      </w:r>
      <w:r w:rsidR="004B0D11" w:rsidRPr="002A4F42">
        <w:rPr>
          <w:rFonts w:ascii="Verdana" w:hAnsi="Verdana"/>
          <w:sz w:val="16"/>
          <w:szCs w:val="16"/>
          <w:lang w:val="es-ES"/>
        </w:rPr>
        <w:t>,</w:t>
      </w:r>
      <w:r w:rsidRPr="002A4F42">
        <w:rPr>
          <w:rFonts w:ascii="Verdana" w:hAnsi="Verdana"/>
          <w:sz w:val="16"/>
          <w:szCs w:val="16"/>
          <w:lang w:val="es-ES"/>
        </w:rPr>
        <w:t xml:space="preserve"> e </w:t>
      </w:r>
      <w:r w:rsidRPr="002A4F42">
        <w:rPr>
          <w:rFonts w:ascii="Verdana" w:hAnsi="Verdana"/>
          <w:bCs/>
          <w:sz w:val="16"/>
          <w:szCs w:val="16"/>
          <w:lang w:val="es-CR"/>
        </w:rPr>
        <w:t>I</w:t>
      </w:r>
      <w:r w:rsidR="003D263F" w:rsidRPr="002A4F42">
        <w:rPr>
          <w:rFonts w:ascii="Verdana" w:hAnsi="Verdana"/>
          <w:bCs/>
          <w:sz w:val="16"/>
          <w:szCs w:val="16"/>
          <w:lang w:val="es-CR"/>
        </w:rPr>
        <w:t>nforme de Fondo de la Comisión Interamericana de Derechos Humanos No. 172/10</w:t>
      </w:r>
      <w:r w:rsidR="005F781B">
        <w:rPr>
          <w:rFonts w:ascii="Verdana" w:hAnsi="Verdana"/>
          <w:bCs/>
          <w:sz w:val="16"/>
          <w:szCs w:val="16"/>
          <w:lang w:val="es-CR"/>
        </w:rPr>
        <w:t>,</w:t>
      </w:r>
      <w:r w:rsidR="003D263F" w:rsidRPr="002A4F42">
        <w:rPr>
          <w:rFonts w:ascii="Verdana" w:hAnsi="Verdana"/>
          <w:bCs/>
          <w:sz w:val="16"/>
          <w:szCs w:val="16"/>
          <w:lang w:val="es-CR"/>
        </w:rPr>
        <w:t xml:space="preserve"> </w:t>
      </w:r>
      <w:r w:rsidR="003D263F" w:rsidRPr="002A4F42">
        <w:rPr>
          <w:rFonts w:ascii="Verdana" w:hAnsi="Verdana"/>
          <w:i/>
          <w:sz w:val="16"/>
          <w:szCs w:val="16"/>
          <w:lang w:val="es-CR"/>
        </w:rPr>
        <w:t>Caso 12.</w:t>
      </w:r>
      <w:r w:rsidR="006D7829" w:rsidRPr="002A4F42">
        <w:rPr>
          <w:rFonts w:ascii="Verdana" w:hAnsi="Verdana"/>
          <w:i/>
          <w:sz w:val="16"/>
          <w:szCs w:val="16"/>
          <w:lang w:val="es-CR"/>
        </w:rPr>
        <w:t>6</w:t>
      </w:r>
      <w:r w:rsidR="003D263F" w:rsidRPr="002A4F42">
        <w:rPr>
          <w:rFonts w:ascii="Verdana" w:hAnsi="Verdana"/>
          <w:i/>
          <w:sz w:val="16"/>
          <w:szCs w:val="16"/>
          <w:lang w:val="es-CR"/>
        </w:rPr>
        <w:t>51 César Alberto Mendoza y Otros (Prisión y Reclusión Perpetuas de Adolescentes)</w:t>
      </w:r>
      <w:r w:rsidR="004B0D11" w:rsidRPr="002A4F42">
        <w:rPr>
          <w:rFonts w:ascii="Verdana" w:hAnsi="Verdana"/>
          <w:sz w:val="16"/>
          <w:szCs w:val="16"/>
          <w:lang w:val="es-CR"/>
        </w:rPr>
        <w:t>,</w:t>
      </w:r>
      <w:r w:rsidR="004B0D11" w:rsidRPr="002A4F42">
        <w:rPr>
          <w:rFonts w:ascii="Verdana" w:hAnsi="Verdana"/>
          <w:sz w:val="16"/>
          <w:szCs w:val="16"/>
          <w:lang w:val="es-ES"/>
        </w:rPr>
        <w:t xml:space="preserve"> Argentina,</w:t>
      </w:r>
      <w:r w:rsidR="004B0D11" w:rsidRPr="002A4F42">
        <w:rPr>
          <w:rFonts w:ascii="Verdana" w:hAnsi="Verdana"/>
          <w:sz w:val="16"/>
          <w:szCs w:val="16"/>
          <w:lang w:val="es-CR"/>
        </w:rPr>
        <w:t xml:space="preserve"> </w:t>
      </w:r>
      <w:r w:rsidRPr="002A4F42">
        <w:rPr>
          <w:rFonts w:ascii="Verdana" w:hAnsi="Verdana"/>
          <w:sz w:val="16"/>
          <w:szCs w:val="16"/>
          <w:lang w:val="es-CR"/>
        </w:rPr>
        <w:t>2 d</w:t>
      </w:r>
      <w:r w:rsidR="003D263F" w:rsidRPr="002A4F42">
        <w:rPr>
          <w:rFonts w:ascii="Verdana" w:hAnsi="Verdana"/>
          <w:sz w:val="16"/>
          <w:szCs w:val="16"/>
          <w:lang w:val="es-CR"/>
        </w:rPr>
        <w:t xml:space="preserve">e </w:t>
      </w:r>
      <w:r w:rsidR="00CC7C66" w:rsidRPr="002A4F42">
        <w:rPr>
          <w:rFonts w:ascii="Verdana" w:hAnsi="Verdana"/>
          <w:sz w:val="16"/>
          <w:szCs w:val="16"/>
          <w:lang w:val="es-CR"/>
        </w:rPr>
        <w:t>n</w:t>
      </w:r>
      <w:r w:rsidR="003D263F" w:rsidRPr="002A4F42">
        <w:rPr>
          <w:rFonts w:ascii="Verdana" w:hAnsi="Verdana"/>
          <w:sz w:val="16"/>
          <w:szCs w:val="16"/>
          <w:lang w:val="es-CR"/>
        </w:rPr>
        <w:t>oviembre de 2010 (expediente</w:t>
      </w:r>
      <w:r w:rsidRPr="002A4F42">
        <w:rPr>
          <w:rFonts w:ascii="Verdana" w:hAnsi="Verdana"/>
          <w:sz w:val="16"/>
          <w:szCs w:val="16"/>
          <w:lang w:val="es-CR"/>
        </w:rPr>
        <w:t xml:space="preserve"> de fondo, </w:t>
      </w:r>
      <w:r w:rsidR="00CC7C66" w:rsidRPr="002A4F42">
        <w:rPr>
          <w:rFonts w:ascii="Verdana" w:hAnsi="Verdana"/>
          <w:sz w:val="16"/>
          <w:szCs w:val="16"/>
          <w:lang w:val="es-CR"/>
        </w:rPr>
        <w:t>t</w:t>
      </w:r>
      <w:r w:rsidRPr="002A4F42">
        <w:rPr>
          <w:rFonts w:ascii="Verdana" w:hAnsi="Verdana"/>
          <w:sz w:val="16"/>
          <w:szCs w:val="16"/>
          <w:lang w:val="es-CR"/>
        </w:rPr>
        <w:t>omo I, folio 54</w:t>
      </w:r>
      <w:r w:rsidR="003D263F" w:rsidRPr="002A4F42">
        <w:rPr>
          <w:rFonts w:ascii="Verdana" w:hAnsi="Verdana"/>
          <w:sz w:val="16"/>
          <w:szCs w:val="16"/>
          <w:lang w:val="es-CR"/>
        </w:rPr>
        <w:t xml:space="preserve">). Disponible en </w:t>
      </w:r>
      <w:hyperlink r:id="rId1" w:history="1">
        <w:r w:rsidR="004B0D11" w:rsidRPr="002A4F42">
          <w:rPr>
            <w:rStyle w:val="Hyperlink"/>
            <w:rFonts w:ascii="Verdana" w:hAnsi="Verdana"/>
            <w:sz w:val="16"/>
            <w:szCs w:val="16"/>
            <w:lang w:val="es-CR"/>
          </w:rPr>
          <w:t>http://www.oas.org/es/cidh/decisiones/corte/12.651ES.pdf</w:t>
        </w:r>
      </w:hyperlink>
      <w:r w:rsidR="001534C0" w:rsidRPr="002A4F42">
        <w:rPr>
          <w:rFonts w:ascii="Verdana" w:hAnsi="Verdana"/>
          <w:sz w:val="16"/>
          <w:szCs w:val="16"/>
          <w:lang w:val="es-ES"/>
        </w:rPr>
        <w:t>.</w:t>
      </w:r>
    </w:p>
  </w:footnote>
  <w:footnote w:id="3">
    <w:p w:rsidR="005B231A" w:rsidRPr="002A4F42" w:rsidRDefault="009754CD" w:rsidP="00A82DF2">
      <w:pPr>
        <w:pStyle w:val="FootnoteText"/>
        <w:jc w:val="both"/>
        <w:rPr>
          <w:rFonts w:ascii="Verdana" w:hAnsi="Verdana"/>
          <w:sz w:val="16"/>
          <w:szCs w:val="16"/>
          <w:lang w:val="es-PR"/>
        </w:rPr>
      </w:pPr>
      <w:r w:rsidRPr="002A4F42">
        <w:rPr>
          <w:rStyle w:val="FootnoteReference"/>
          <w:rFonts w:ascii="Verdana" w:hAnsi="Verdana"/>
          <w:sz w:val="16"/>
          <w:szCs w:val="16"/>
        </w:rPr>
        <w:footnoteRef/>
      </w:r>
      <w:r w:rsidRPr="002A4F42">
        <w:rPr>
          <w:rFonts w:ascii="Verdana" w:hAnsi="Verdana"/>
          <w:sz w:val="16"/>
          <w:szCs w:val="16"/>
          <w:lang w:val="es-PR"/>
        </w:rPr>
        <w:t xml:space="preserve"> </w:t>
      </w:r>
      <w:r w:rsidR="00E62474" w:rsidRPr="002A4F42">
        <w:rPr>
          <w:rFonts w:ascii="Verdana" w:hAnsi="Verdana"/>
          <w:sz w:val="16"/>
          <w:szCs w:val="16"/>
          <w:lang w:val="es-PR"/>
        </w:rPr>
        <w:tab/>
      </w:r>
      <w:r w:rsidR="00A0064D" w:rsidRPr="002A4F42">
        <w:rPr>
          <w:rFonts w:ascii="Verdana" w:hAnsi="Verdana"/>
          <w:i/>
          <w:sz w:val="16"/>
          <w:szCs w:val="16"/>
          <w:lang w:val="es-PR"/>
        </w:rPr>
        <w:t>Cfr</w:t>
      </w:r>
      <w:r w:rsidRPr="002A4F42">
        <w:rPr>
          <w:rFonts w:ascii="Verdana" w:hAnsi="Verdana"/>
          <w:sz w:val="16"/>
          <w:szCs w:val="16"/>
          <w:lang w:val="es-PR"/>
        </w:rPr>
        <w:t xml:space="preserve">. </w:t>
      </w:r>
      <w:r w:rsidR="004B0D11" w:rsidRPr="002A4F42">
        <w:rPr>
          <w:rFonts w:ascii="Verdana" w:hAnsi="Verdana"/>
          <w:bCs/>
          <w:sz w:val="16"/>
          <w:szCs w:val="16"/>
          <w:lang w:val="es-CR"/>
        </w:rPr>
        <w:t>Informe de Fondo de la Comisión Interamericana de Derechos Humanos No. 172/10</w:t>
      </w:r>
      <w:r w:rsidR="005F781B">
        <w:rPr>
          <w:rFonts w:ascii="Verdana" w:hAnsi="Verdana"/>
          <w:bCs/>
          <w:sz w:val="16"/>
          <w:szCs w:val="16"/>
          <w:lang w:val="es-CR"/>
        </w:rPr>
        <w:t>,</w:t>
      </w:r>
      <w:r w:rsidR="004B0D11" w:rsidRPr="002A4F42">
        <w:rPr>
          <w:rFonts w:ascii="Verdana" w:hAnsi="Verdana"/>
          <w:bCs/>
          <w:sz w:val="16"/>
          <w:szCs w:val="16"/>
          <w:lang w:val="es-CR"/>
        </w:rPr>
        <w:t xml:space="preserve"> </w:t>
      </w:r>
      <w:r w:rsidR="004B0D11" w:rsidRPr="002A4F42">
        <w:rPr>
          <w:rFonts w:ascii="Verdana" w:hAnsi="Verdana"/>
          <w:i/>
          <w:sz w:val="16"/>
          <w:szCs w:val="16"/>
          <w:lang w:val="es-CR"/>
        </w:rPr>
        <w:t>Caso 12.651 César Alberto Mendoza y Otros (Prisión y Reclusión Perpetuas de Adolescentes)</w:t>
      </w:r>
      <w:r w:rsidR="004B0D11" w:rsidRPr="002A4F42">
        <w:rPr>
          <w:rFonts w:ascii="Verdana" w:hAnsi="Verdana"/>
          <w:sz w:val="16"/>
          <w:szCs w:val="16"/>
          <w:lang w:val="es-CR"/>
        </w:rPr>
        <w:t>,</w:t>
      </w:r>
      <w:r w:rsidR="004B0D11" w:rsidRPr="002A4F42">
        <w:rPr>
          <w:rFonts w:ascii="Verdana" w:hAnsi="Verdana"/>
          <w:sz w:val="16"/>
          <w:szCs w:val="16"/>
          <w:lang w:val="es-ES"/>
        </w:rPr>
        <w:t xml:space="preserve"> Argentina,</w:t>
      </w:r>
      <w:r w:rsidR="004B0D11" w:rsidRPr="002A4F42">
        <w:rPr>
          <w:rFonts w:ascii="Verdana" w:hAnsi="Verdana"/>
          <w:sz w:val="16"/>
          <w:szCs w:val="16"/>
          <w:lang w:val="es-CR"/>
        </w:rPr>
        <w:t xml:space="preserve"> 2 de </w:t>
      </w:r>
      <w:r w:rsidR="001534C0" w:rsidRPr="002A4F42">
        <w:rPr>
          <w:rFonts w:ascii="Verdana" w:hAnsi="Verdana"/>
          <w:sz w:val="16"/>
          <w:szCs w:val="16"/>
          <w:lang w:val="es-CR"/>
        </w:rPr>
        <w:t>n</w:t>
      </w:r>
      <w:r w:rsidR="004B0D11" w:rsidRPr="002A4F42">
        <w:rPr>
          <w:rFonts w:ascii="Verdana" w:hAnsi="Verdana"/>
          <w:sz w:val="16"/>
          <w:szCs w:val="16"/>
          <w:lang w:val="es-CR"/>
        </w:rPr>
        <w:t xml:space="preserve">oviembre de 2010 (expediente de fondo, </w:t>
      </w:r>
      <w:r w:rsidR="001534C0" w:rsidRPr="002A4F42">
        <w:rPr>
          <w:rFonts w:ascii="Verdana" w:hAnsi="Verdana"/>
          <w:sz w:val="16"/>
          <w:szCs w:val="16"/>
          <w:lang w:val="es-CR"/>
        </w:rPr>
        <w:t>t</w:t>
      </w:r>
      <w:r w:rsidR="004B0D11" w:rsidRPr="002A4F42">
        <w:rPr>
          <w:rFonts w:ascii="Verdana" w:hAnsi="Verdana"/>
          <w:sz w:val="16"/>
          <w:szCs w:val="16"/>
          <w:lang w:val="es-CR"/>
        </w:rPr>
        <w:t xml:space="preserve">omo I, </w:t>
      </w:r>
      <w:r w:rsidRPr="002A4F42">
        <w:rPr>
          <w:rFonts w:ascii="Verdana" w:hAnsi="Verdana"/>
          <w:sz w:val="16"/>
          <w:szCs w:val="16"/>
          <w:lang w:val="es-CR"/>
        </w:rPr>
        <w:t xml:space="preserve">folios 9 a 84). Disponible en </w:t>
      </w:r>
      <w:hyperlink r:id="rId2" w:history="1">
        <w:r w:rsidRPr="002A4F42">
          <w:rPr>
            <w:rStyle w:val="Hyperlink"/>
            <w:rFonts w:ascii="Verdana" w:hAnsi="Verdana"/>
            <w:sz w:val="16"/>
            <w:szCs w:val="16"/>
            <w:lang w:val="es-CR"/>
          </w:rPr>
          <w:t>http://www.oas.org/es/cidh/decisiones/corte/12.651ES.pdf</w:t>
        </w:r>
      </w:hyperlink>
      <w:r w:rsidR="001534C0" w:rsidRPr="002A4F42">
        <w:rPr>
          <w:rFonts w:ascii="Verdana" w:hAnsi="Verdana"/>
          <w:sz w:val="16"/>
          <w:szCs w:val="16"/>
          <w:lang w:val="es-ES"/>
        </w:rPr>
        <w:t>.</w:t>
      </w:r>
    </w:p>
  </w:footnote>
  <w:footnote w:id="4">
    <w:p w:rsidR="005B231A" w:rsidRPr="002A4F42" w:rsidRDefault="009754CD">
      <w:pPr>
        <w:autoSpaceDE w:val="0"/>
        <w:autoSpaceDN w:val="0"/>
        <w:adjustRightInd w:val="0"/>
        <w:spacing w:after="0" w:line="240" w:lineRule="auto"/>
        <w:jc w:val="both"/>
        <w:rPr>
          <w:rFonts w:ascii="Verdana" w:hAnsi="Verdana" w:cs="Verdana"/>
          <w:color w:val="000000"/>
          <w:sz w:val="16"/>
          <w:szCs w:val="16"/>
          <w:lang w:val="es-CR"/>
        </w:rPr>
      </w:pPr>
      <w:r w:rsidRPr="002A4F42">
        <w:rPr>
          <w:rStyle w:val="FootnoteReference"/>
          <w:rFonts w:ascii="Verdana" w:hAnsi="Verdana"/>
          <w:sz w:val="16"/>
          <w:szCs w:val="16"/>
        </w:rPr>
        <w:footnoteRef/>
      </w:r>
      <w:r w:rsidRPr="002A4F42">
        <w:rPr>
          <w:rFonts w:ascii="Verdana" w:hAnsi="Verdana"/>
          <w:sz w:val="16"/>
          <w:szCs w:val="16"/>
          <w:lang w:val="es-PR"/>
        </w:rPr>
        <w:t xml:space="preserve"> </w:t>
      </w:r>
      <w:r w:rsidR="00E62474" w:rsidRPr="002A4F42">
        <w:rPr>
          <w:rFonts w:ascii="Verdana" w:hAnsi="Verdana"/>
          <w:sz w:val="16"/>
          <w:szCs w:val="16"/>
          <w:lang w:val="es-PR"/>
        </w:rPr>
        <w:tab/>
      </w:r>
      <w:r w:rsidR="00A0064D" w:rsidRPr="002A4F42">
        <w:rPr>
          <w:rFonts w:ascii="Verdana" w:hAnsi="Verdana" w:cs="Verdana"/>
          <w:bCs/>
          <w:i/>
          <w:color w:val="000000"/>
          <w:sz w:val="16"/>
          <w:szCs w:val="16"/>
          <w:lang w:val="es-CR"/>
        </w:rPr>
        <w:t>Cfr</w:t>
      </w:r>
      <w:r w:rsidR="003D263F" w:rsidRPr="002A4F42">
        <w:rPr>
          <w:rFonts w:ascii="Verdana" w:hAnsi="Verdana" w:cs="Verdana"/>
          <w:bCs/>
          <w:color w:val="000000"/>
          <w:sz w:val="16"/>
          <w:szCs w:val="16"/>
          <w:lang w:val="es-CR"/>
        </w:rPr>
        <w:t xml:space="preserve">. </w:t>
      </w:r>
      <w:r w:rsidR="00A5566A" w:rsidRPr="002A4F42">
        <w:rPr>
          <w:rFonts w:ascii="Verdana" w:hAnsi="Verdana" w:cs="Verdana"/>
          <w:bCs/>
          <w:i/>
          <w:sz w:val="16"/>
          <w:szCs w:val="16"/>
          <w:lang w:val="es-CR"/>
        </w:rPr>
        <w:t xml:space="preserve">Caso Mendoza y Otros </w:t>
      </w:r>
      <w:r w:rsidR="00A5566A" w:rsidRPr="002A4F42">
        <w:rPr>
          <w:rFonts w:ascii="Verdana" w:hAnsi="Verdana" w:cs="Verdana"/>
          <w:bCs/>
          <w:i/>
          <w:iCs/>
          <w:sz w:val="16"/>
          <w:szCs w:val="16"/>
          <w:lang w:val="es-CR"/>
        </w:rPr>
        <w:t xml:space="preserve">Vs. </w:t>
      </w:r>
      <w:r w:rsidR="00A5566A" w:rsidRPr="002A4F42">
        <w:rPr>
          <w:rFonts w:ascii="Verdana" w:hAnsi="Verdana" w:cs="Verdana"/>
          <w:bCs/>
          <w:i/>
          <w:sz w:val="16"/>
          <w:szCs w:val="16"/>
          <w:lang w:val="es-CR"/>
        </w:rPr>
        <w:t>Argentina</w:t>
      </w:r>
      <w:r w:rsidR="00A5566A" w:rsidRPr="002A4F42">
        <w:rPr>
          <w:rFonts w:ascii="Verdana" w:hAnsi="Verdana" w:cs="Verdana"/>
          <w:bCs/>
          <w:sz w:val="16"/>
          <w:szCs w:val="16"/>
          <w:lang w:val="es-CR"/>
        </w:rPr>
        <w:t>.</w:t>
      </w:r>
      <w:r w:rsidR="00A5566A" w:rsidRPr="002A4F42">
        <w:rPr>
          <w:rFonts w:ascii="Verdana" w:hAnsi="Verdana" w:cs="Verdana"/>
          <w:bCs/>
          <w:color w:val="000000"/>
          <w:sz w:val="16"/>
          <w:szCs w:val="16"/>
          <w:lang w:val="es-CR"/>
        </w:rPr>
        <w:t xml:space="preserve"> </w:t>
      </w:r>
      <w:r w:rsidR="003D263F" w:rsidRPr="002A4F42">
        <w:rPr>
          <w:rFonts w:ascii="Verdana" w:hAnsi="Verdana" w:cs="Verdana"/>
          <w:bCs/>
          <w:color w:val="000000"/>
          <w:sz w:val="16"/>
          <w:szCs w:val="16"/>
          <w:lang w:val="es-CR"/>
        </w:rPr>
        <w:t>Resolución del Presidente de la Corte Inter</w:t>
      </w:r>
      <w:r w:rsidRPr="002A4F42">
        <w:rPr>
          <w:rFonts w:ascii="Verdana" w:hAnsi="Verdana" w:cs="Verdana"/>
          <w:bCs/>
          <w:color w:val="000000"/>
          <w:sz w:val="16"/>
          <w:szCs w:val="16"/>
          <w:lang w:val="es-CR"/>
        </w:rPr>
        <w:t>americana de Derechos Humanos</w:t>
      </w:r>
      <w:r w:rsidR="00A5566A" w:rsidRPr="002A4F42">
        <w:rPr>
          <w:rFonts w:ascii="Verdana" w:hAnsi="Verdana" w:cs="Verdana"/>
          <w:bCs/>
          <w:color w:val="000000"/>
          <w:sz w:val="16"/>
          <w:szCs w:val="16"/>
          <w:lang w:val="es-CR"/>
        </w:rPr>
        <w:t xml:space="preserve"> de</w:t>
      </w:r>
      <w:r w:rsidR="003D263F" w:rsidRPr="002A4F42">
        <w:rPr>
          <w:rFonts w:ascii="Verdana" w:hAnsi="Verdana" w:cs="Verdana"/>
          <w:bCs/>
          <w:color w:val="000000"/>
          <w:sz w:val="16"/>
          <w:szCs w:val="16"/>
          <w:lang w:val="es-CR"/>
        </w:rPr>
        <w:t xml:space="preserve"> 1 de agosto de 2012</w:t>
      </w:r>
      <w:r w:rsidR="003D263F" w:rsidRPr="002A4F42">
        <w:rPr>
          <w:rFonts w:ascii="Verdana" w:hAnsi="Verdana" w:cs="Verdana"/>
          <w:bCs/>
          <w:sz w:val="16"/>
          <w:szCs w:val="16"/>
          <w:lang w:val="es-CR"/>
        </w:rPr>
        <w:t xml:space="preserve"> (expediente de fondo, tomo II, folio</w:t>
      </w:r>
      <w:r w:rsidR="001534C0" w:rsidRPr="002A4F42">
        <w:rPr>
          <w:rFonts w:ascii="Verdana" w:hAnsi="Verdana" w:cs="Verdana"/>
          <w:bCs/>
          <w:sz w:val="16"/>
          <w:szCs w:val="16"/>
          <w:lang w:val="es-CR"/>
        </w:rPr>
        <w:t>s</w:t>
      </w:r>
      <w:r w:rsidR="003D263F" w:rsidRPr="002A4F42">
        <w:rPr>
          <w:rFonts w:ascii="Verdana" w:hAnsi="Verdana" w:cs="Verdana"/>
          <w:bCs/>
          <w:sz w:val="16"/>
          <w:szCs w:val="16"/>
          <w:lang w:val="es-CR"/>
        </w:rPr>
        <w:t xml:space="preserve"> 1098</w:t>
      </w:r>
      <w:r w:rsidRPr="002A4F42">
        <w:rPr>
          <w:rFonts w:ascii="Verdana" w:hAnsi="Verdana" w:cs="Verdana"/>
          <w:bCs/>
          <w:sz w:val="16"/>
          <w:szCs w:val="16"/>
          <w:lang w:val="es-CR"/>
        </w:rPr>
        <w:t xml:space="preserve"> a 1113</w:t>
      </w:r>
      <w:r w:rsidR="003D263F" w:rsidRPr="002A4F42">
        <w:rPr>
          <w:rFonts w:ascii="Verdana" w:hAnsi="Verdana" w:cs="Verdana"/>
          <w:bCs/>
          <w:sz w:val="16"/>
          <w:szCs w:val="16"/>
          <w:lang w:val="es-CR"/>
        </w:rPr>
        <w:t>)</w:t>
      </w:r>
      <w:r w:rsidRPr="002A4F42">
        <w:rPr>
          <w:rFonts w:ascii="Verdana" w:hAnsi="Verdana" w:cs="Verdana"/>
          <w:bCs/>
          <w:sz w:val="16"/>
          <w:szCs w:val="16"/>
          <w:lang w:val="es-CR"/>
        </w:rPr>
        <w:t xml:space="preserve">. Disponible en </w:t>
      </w:r>
      <w:hyperlink r:id="rId3" w:history="1">
        <w:r w:rsidRPr="002A4F42">
          <w:rPr>
            <w:rStyle w:val="Hyperlink"/>
            <w:rFonts w:ascii="Verdana" w:hAnsi="Verdana"/>
            <w:sz w:val="16"/>
            <w:szCs w:val="16"/>
            <w:lang w:val="es-PR"/>
          </w:rPr>
          <w:t>http://www.corteidh.or.cr/docs/asuntos/mendoza_01_08_12.pdf</w:t>
        </w:r>
      </w:hyperlink>
      <w:r w:rsidR="001534C0" w:rsidRPr="002A4F42">
        <w:rPr>
          <w:rFonts w:ascii="Verdana" w:hAnsi="Verdana"/>
          <w:sz w:val="16"/>
          <w:szCs w:val="16"/>
          <w:lang w:val="es-ES"/>
        </w:rPr>
        <w:t>.</w:t>
      </w:r>
    </w:p>
  </w:footnote>
  <w:footnote w:id="5">
    <w:p w:rsidR="009754CD" w:rsidRPr="002A4F42" w:rsidRDefault="009754CD" w:rsidP="00BD415F">
      <w:pPr>
        <w:autoSpaceDE w:val="0"/>
        <w:autoSpaceDN w:val="0"/>
        <w:adjustRightInd w:val="0"/>
        <w:spacing w:after="0" w:line="240" w:lineRule="auto"/>
        <w:jc w:val="both"/>
        <w:rPr>
          <w:rFonts w:ascii="Verdana" w:hAnsi="Verdana"/>
          <w:sz w:val="16"/>
          <w:szCs w:val="16"/>
          <w:lang w:val="es-ES"/>
        </w:rPr>
      </w:pPr>
      <w:r w:rsidRPr="002A4F42">
        <w:rPr>
          <w:rStyle w:val="FootnoteReference"/>
          <w:rFonts w:ascii="Verdana" w:hAnsi="Verdana"/>
          <w:sz w:val="16"/>
          <w:szCs w:val="16"/>
        </w:rPr>
        <w:footnoteRef/>
      </w:r>
      <w:r w:rsidRPr="002A4F42">
        <w:rPr>
          <w:rFonts w:ascii="Verdana" w:hAnsi="Verdana"/>
          <w:sz w:val="16"/>
          <w:szCs w:val="16"/>
          <w:lang w:val="es-PR"/>
        </w:rPr>
        <w:t xml:space="preserve"> </w:t>
      </w:r>
      <w:r w:rsidR="00E62474" w:rsidRPr="002A4F42">
        <w:rPr>
          <w:rFonts w:ascii="Verdana" w:hAnsi="Verdana"/>
          <w:sz w:val="16"/>
          <w:szCs w:val="16"/>
          <w:lang w:val="es-PR"/>
        </w:rPr>
        <w:tab/>
      </w:r>
      <w:r w:rsidR="00A0064D" w:rsidRPr="002A4F42">
        <w:rPr>
          <w:rFonts w:ascii="Verdana" w:hAnsi="Verdana"/>
          <w:i/>
          <w:sz w:val="16"/>
          <w:szCs w:val="16"/>
          <w:lang w:val="es-PR"/>
        </w:rPr>
        <w:t>Cfr</w:t>
      </w:r>
      <w:r w:rsidR="003D263F" w:rsidRPr="002A4F42">
        <w:rPr>
          <w:rFonts w:ascii="Verdana" w:hAnsi="Verdana"/>
          <w:i/>
          <w:sz w:val="16"/>
          <w:szCs w:val="16"/>
          <w:lang w:val="es-PR"/>
        </w:rPr>
        <w:t>.</w:t>
      </w:r>
      <w:r w:rsidR="00E62474" w:rsidRPr="002A4F42">
        <w:rPr>
          <w:rFonts w:ascii="Verdana" w:hAnsi="Verdana"/>
          <w:sz w:val="16"/>
          <w:szCs w:val="16"/>
          <w:lang w:val="es-PR"/>
        </w:rPr>
        <w:t xml:space="preserve"> </w:t>
      </w:r>
      <w:r w:rsidR="00242AC8" w:rsidRPr="002A4F42">
        <w:rPr>
          <w:rFonts w:ascii="Verdana" w:hAnsi="Verdana" w:cs="Verdana"/>
          <w:bCs/>
          <w:i/>
          <w:sz w:val="16"/>
          <w:szCs w:val="16"/>
          <w:lang w:val="es-CR"/>
        </w:rPr>
        <w:t xml:space="preserve">Caso Mendoza y Otros </w:t>
      </w:r>
      <w:r w:rsidR="00242AC8" w:rsidRPr="002A4F42">
        <w:rPr>
          <w:rFonts w:ascii="Verdana" w:hAnsi="Verdana" w:cs="Verdana"/>
          <w:bCs/>
          <w:i/>
          <w:iCs/>
          <w:sz w:val="16"/>
          <w:szCs w:val="16"/>
          <w:lang w:val="es-CR"/>
        </w:rPr>
        <w:t xml:space="preserve">Vs. </w:t>
      </w:r>
      <w:r w:rsidR="00242AC8" w:rsidRPr="002A4F42">
        <w:rPr>
          <w:rFonts w:ascii="Verdana" w:hAnsi="Verdana" w:cs="Verdana"/>
          <w:bCs/>
          <w:i/>
          <w:sz w:val="16"/>
          <w:szCs w:val="16"/>
          <w:lang w:val="es-CR"/>
        </w:rPr>
        <w:t>Argentina</w:t>
      </w:r>
      <w:r w:rsidR="00242AC8" w:rsidRPr="002A4F42">
        <w:rPr>
          <w:rFonts w:ascii="Verdana" w:hAnsi="Verdana" w:cs="Verdana"/>
          <w:bCs/>
          <w:sz w:val="16"/>
          <w:szCs w:val="16"/>
          <w:lang w:val="es-CR"/>
        </w:rPr>
        <w:t>.</w:t>
      </w:r>
      <w:r w:rsidR="00242AC8" w:rsidRPr="002A4F42">
        <w:rPr>
          <w:rFonts w:ascii="Verdana" w:hAnsi="Verdana" w:cs="Verdana"/>
          <w:bCs/>
          <w:color w:val="000000"/>
          <w:sz w:val="16"/>
          <w:szCs w:val="16"/>
          <w:lang w:val="es-CR"/>
        </w:rPr>
        <w:t xml:space="preserve"> </w:t>
      </w:r>
      <w:r w:rsidR="003D263F" w:rsidRPr="002A4F42">
        <w:rPr>
          <w:rFonts w:ascii="Verdana" w:hAnsi="Verdana"/>
          <w:sz w:val="16"/>
          <w:szCs w:val="16"/>
          <w:lang w:val="es-CR"/>
        </w:rPr>
        <w:t>Audiencia</w:t>
      </w:r>
      <w:r w:rsidR="00E62474" w:rsidRPr="002A4F42">
        <w:rPr>
          <w:rFonts w:ascii="Verdana" w:hAnsi="Verdana"/>
          <w:sz w:val="16"/>
          <w:szCs w:val="16"/>
          <w:lang w:val="es-CR"/>
        </w:rPr>
        <w:t xml:space="preserve"> pú</w:t>
      </w:r>
      <w:r w:rsidRPr="002A4F42">
        <w:rPr>
          <w:rFonts w:ascii="Verdana" w:hAnsi="Verdana"/>
          <w:sz w:val="16"/>
          <w:szCs w:val="16"/>
          <w:lang w:val="es-CR"/>
        </w:rPr>
        <w:t>blica celebrada el 30 de agosto de 2012,</w:t>
      </w:r>
      <w:r w:rsidR="006F007A" w:rsidRPr="002A4F42">
        <w:rPr>
          <w:rFonts w:ascii="Verdana" w:hAnsi="Verdana"/>
          <w:sz w:val="16"/>
          <w:szCs w:val="16"/>
          <w:lang w:val="es-CR"/>
        </w:rPr>
        <w:t xml:space="preserve"> en el marco del</w:t>
      </w:r>
      <w:r w:rsidRPr="002A4F42">
        <w:rPr>
          <w:rFonts w:ascii="Verdana" w:hAnsi="Verdana"/>
          <w:sz w:val="16"/>
          <w:szCs w:val="16"/>
          <w:lang w:val="es-CR"/>
        </w:rPr>
        <w:t xml:space="preserve"> 96 Período Ordinario de Sesiones de la Corte Interamericana de Derechos Humano</w:t>
      </w:r>
      <w:r w:rsidR="003D263F" w:rsidRPr="002A4F42">
        <w:rPr>
          <w:rFonts w:ascii="Verdana" w:hAnsi="Verdana" w:cs="Times New Roman"/>
          <w:iCs/>
          <w:sz w:val="16"/>
          <w:szCs w:val="16"/>
          <w:lang w:val="es-CR"/>
        </w:rPr>
        <w:t xml:space="preserve">. Disponible en </w:t>
      </w:r>
      <w:hyperlink r:id="rId4" w:history="1">
        <w:r w:rsidR="003D263F" w:rsidRPr="002A4F42">
          <w:rPr>
            <w:rStyle w:val="Hyperlink"/>
            <w:rFonts w:ascii="Verdana" w:hAnsi="Verdana"/>
            <w:sz w:val="16"/>
            <w:szCs w:val="16"/>
            <w:lang w:val="es-CR"/>
          </w:rPr>
          <w:t>http://vimeo.com/48536192</w:t>
        </w:r>
      </w:hyperlink>
      <w:r w:rsidR="003D263F" w:rsidRPr="002A4F42">
        <w:rPr>
          <w:rFonts w:ascii="Verdana" w:hAnsi="Verdana" w:cs="Verdana"/>
          <w:bCs/>
          <w:color w:val="000000"/>
          <w:sz w:val="16"/>
          <w:szCs w:val="16"/>
          <w:lang w:val="es-CR"/>
        </w:rPr>
        <w:t xml:space="preserve">, </w:t>
      </w:r>
      <w:hyperlink r:id="rId5" w:history="1">
        <w:r w:rsidR="003D263F" w:rsidRPr="002A4F42">
          <w:rPr>
            <w:rStyle w:val="Hyperlink"/>
            <w:rFonts w:ascii="Verdana" w:hAnsi="Verdana"/>
            <w:sz w:val="16"/>
            <w:szCs w:val="16"/>
            <w:lang w:val="es-CR"/>
          </w:rPr>
          <w:t>http://vimeo.com/48744734</w:t>
        </w:r>
      </w:hyperlink>
      <w:r w:rsidR="003D263F" w:rsidRPr="002A4F42">
        <w:rPr>
          <w:rFonts w:ascii="Verdana" w:hAnsi="Verdana"/>
          <w:sz w:val="16"/>
          <w:szCs w:val="16"/>
          <w:lang w:val="es-CR"/>
        </w:rPr>
        <w:t xml:space="preserve"> y </w:t>
      </w:r>
      <w:hyperlink r:id="rId6" w:history="1">
        <w:r w:rsidR="003D263F" w:rsidRPr="002A4F42">
          <w:rPr>
            <w:rStyle w:val="Hyperlink"/>
            <w:rFonts w:ascii="Verdana" w:hAnsi="Verdana"/>
            <w:sz w:val="16"/>
            <w:szCs w:val="16"/>
            <w:lang w:val="es-CR"/>
          </w:rPr>
          <w:t>http://vimeo.com/48744848</w:t>
        </w:r>
      </w:hyperlink>
      <w:r w:rsidR="001534C0" w:rsidRPr="002A4F42">
        <w:rPr>
          <w:rFonts w:ascii="Verdana" w:hAnsi="Verdana"/>
          <w:sz w:val="16"/>
          <w:szCs w:val="16"/>
          <w:lang w:val="es-E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870CD"/>
    <w:multiLevelType w:val="hybridMultilevel"/>
    <w:tmpl w:val="76E491C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373C41D1"/>
    <w:multiLevelType w:val="hybridMultilevel"/>
    <w:tmpl w:val="62BE8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8E5BC9"/>
    <w:multiLevelType w:val="hybridMultilevel"/>
    <w:tmpl w:val="6826118A"/>
    <w:lvl w:ilvl="0" w:tplc="5BAC6F4C">
      <w:start w:val="1"/>
      <w:numFmt w:val="lowerLetter"/>
      <w:lvlText w:val="(%1)"/>
      <w:lvlJc w:val="left"/>
      <w:pPr>
        <w:ind w:left="760" w:hanging="400"/>
      </w:pPr>
      <w:rPr>
        <w:rFonts w:hint="default"/>
        <w:lang w:val="es-C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1043F4"/>
    <w:multiLevelType w:val="hybridMultilevel"/>
    <w:tmpl w:val="F2EAB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753A80"/>
    <w:multiLevelType w:val="hybridMultilevel"/>
    <w:tmpl w:val="AD5E638E"/>
    <w:lvl w:ilvl="0" w:tplc="B37AF7BC">
      <w:start w:val="1"/>
      <w:numFmt w:val="decimal"/>
      <w:lvlText w:val="%1."/>
      <w:lvlJc w:val="left"/>
      <w:pPr>
        <w:ind w:left="0" w:firstLine="0"/>
      </w:pPr>
      <w:rPr>
        <w:rFonts w:ascii="Verdana" w:hAnsi="Verdana" w:hint="default"/>
        <w:b w:val="0"/>
        <w:i w:val="0"/>
        <w:sz w:val="20"/>
        <w:szCs w:val="20"/>
      </w:rPr>
    </w:lvl>
    <w:lvl w:ilvl="1" w:tplc="080A0019">
      <w:start w:val="1"/>
      <w:numFmt w:val="lowerLetter"/>
      <w:lvlText w:val="%2."/>
      <w:lvlJc w:val="left"/>
      <w:pPr>
        <w:ind w:left="1298" w:hanging="360"/>
      </w:pPr>
      <w:rPr>
        <w:rFonts w:hint="default"/>
      </w:rPr>
    </w:lvl>
    <w:lvl w:ilvl="2" w:tplc="080A001B">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F7D78"/>
    <w:rsid w:val="00007534"/>
    <w:rsid w:val="0001387E"/>
    <w:rsid w:val="000217AF"/>
    <w:rsid w:val="00023D30"/>
    <w:rsid w:val="00035F49"/>
    <w:rsid w:val="000450A0"/>
    <w:rsid w:val="00080833"/>
    <w:rsid w:val="00094E88"/>
    <w:rsid w:val="000972CF"/>
    <w:rsid w:val="000B114F"/>
    <w:rsid w:val="000B1F93"/>
    <w:rsid w:val="000B39CF"/>
    <w:rsid w:val="000C3AFB"/>
    <w:rsid w:val="000D2C3C"/>
    <w:rsid w:val="000D2F12"/>
    <w:rsid w:val="000F09E6"/>
    <w:rsid w:val="001033A3"/>
    <w:rsid w:val="001260F8"/>
    <w:rsid w:val="001344AE"/>
    <w:rsid w:val="001433F0"/>
    <w:rsid w:val="001534C0"/>
    <w:rsid w:val="001862E8"/>
    <w:rsid w:val="001934CB"/>
    <w:rsid w:val="001C3E3D"/>
    <w:rsid w:val="001E41C2"/>
    <w:rsid w:val="001F36D1"/>
    <w:rsid w:val="00205851"/>
    <w:rsid w:val="0020621A"/>
    <w:rsid w:val="00242AC8"/>
    <w:rsid w:val="00247ED5"/>
    <w:rsid w:val="00275C21"/>
    <w:rsid w:val="002A309F"/>
    <w:rsid w:val="002A4F42"/>
    <w:rsid w:val="002B4639"/>
    <w:rsid w:val="002B7962"/>
    <w:rsid w:val="002E7D49"/>
    <w:rsid w:val="0032633B"/>
    <w:rsid w:val="0033212F"/>
    <w:rsid w:val="0036283C"/>
    <w:rsid w:val="00362F2E"/>
    <w:rsid w:val="00384165"/>
    <w:rsid w:val="003943A6"/>
    <w:rsid w:val="003A3178"/>
    <w:rsid w:val="003D263F"/>
    <w:rsid w:val="003D4223"/>
    <w:rsid w:val="003F64EA"/>
    <w:rsid w:val="00400EBB"/>
    <w:rsid w:val="00412B23"/>
    <w:rsid w:val="004146A4"/>
    <w:rsid w:val="00425D38"/>
    <w:rsid w:val="0043114D"/>
    <w:rsid w:val="00446056"/>
    <w:rsid w:val="0045114C"/>
    <w:rsid w:val="004558FC"/>
    <w:rsid w:val="00464B15"/>
    <w:rsid w:val="00472106"/>
    <w:rsid w:val="00474DE4"/>
    <w:rsid w:val="004774C7"/>
    <w:rsid w:val="0048555F"/>
    <w:rsid w:val="00496B7E"/>
    <w:rsid w:val="00497C24"/>
    <w:rsid w:val="004A69BB"/>
    <w:rsid w:val="004B0D11"/>
    <w:rsid w:val="004D105B"/>
    <w:rsid w:val="004E58EE"/>
    <w:rsid w:val="00501885"/>
    <w:rsid w:val="005076BB"/>
    <w:rsid w:val="00507BEB"/>
    <w:rsid w:val="00511440"/>
    <w:rsid w:val="00520830"/>
    <w:rsid w:val="0052720E"/>
    <w:rsid w:val="00533D38"/>
    <w:rsid w:val="00546BE1"/>
    <w:rsid w:val="00550280"/>
    <w:rsid w:val="005548CE"/>
    <w:rsid w:val="00582C3B"/>
    <w:rsid w:val="00582C7C"/>
    <w:rsid w:val="005956F6"/>
    <w:rsid w:val="005A1180"/>
    <w:rsid w:val="005B231A"/>
    <w:rsid w:val="005B67FD"/>
    <w:rsid w:val="005F781B"/>
    <w:rsid w:val="005F7D78"/>
    <w:rsid w:val="00612E89"/>
    <w:rsid w:val="006162AB"/>
    <w:rsid w:val="006235F8"/>
    <w:rsid w:val="0067769E"/>
    <w:rsid w:val="00692AED"/>
    <w:rsid w:val="006A44A0"/>
    <w:rsid w:val="006B1A1A"/>
    <w:rsid w:val="006B1FD4"/>
    <w:rsid w:val="006B3FE5"/>
    <w:rsid w:val="006C65C7"/>
    <w:rsid w:val="006D3B4E"/>
    <w:rsid w:val="006D7829"/>
    <w:rsid w:val="006E488D"/>
    <w:rsid w:val="006F007A"/>
    <w:rsid w:val="006F3C2F"/>
    <w:rsid w:val="007072DF"/>
    <w:rsid w:val="00724ABB"/>
    <w:rsid w:val="007336E2"/>
    <w:rsid w:val="00743479"/>
    <w:rsid w:val="00745560"/>
    <w:rsid w:val="00747DD1"/>
    <w:rsid w:val="00751D85"/>
    <w:rsid w:val="00752F3F"/>
    <w:rsid w:val="00770D8A"/>
    <w:rsid w:val="00773165"/>
    <w:rsid w:val="00783F5F"/>
    <w:rsid w:val="0079085F"/>
    <w:rsid w:val="007A5DC3"/>
    <w:rsid w:val="007B2BB5"/>
    <w:rsid w:val="007C0065"/>
    <w:rsid w:val="007C1FAC"/>
    <w:rsid w:val="007E1BC9"/>
    <w:rsid w:val="007E296A"/>
    <w:rsid w:val="00802B52"/>
    <w:rsid w:val="008537B1"/>
    <w:rsid w:val="00871422"/>
    <w:rsid w:val="00884202"/>
    <w:rsid w:val="0089754A"/>
    <w:rsid w:val="008A6CB7"/>
    <w:rsid w:val="008C4327"/>
    <w:rsid w:val="008C6E44"/>
    <w:rsid w:val="008D0EA8"/>
    <w:rsid w:val="008F5C3D"/>
    <w:rsid w:val="00904A28"/>
    <w:rsid w:val="00970ACA"/>
    <w:rsid w:val="0097258B"/>
    <w:rsid w:val="009754CD"/>
    <w:rsid w:val="009A486F"/>
    <w:rsid w:val="009B3916"/>
    <w:rsid w:val="009C1C73"/>
    <w:rsid w:val="00A0064D"/>
    <w:rsid w:val="00A024B7"/>
    <w:rsid w:val="00A03662"/>
    <w:rsid w:val="00A045D1"/>
    <w:rsid w:val="00A1130E"/>
    <w:rsid w:val="00A26093"/>
    <w:rsid w:val="00A5566A"/>
    <w:rsid w:val="00A600BA"/>
    <w:rsid w:val="00A646A7"/>
    <w:rsid w:val="00A82DF2"/>
    <w:rsid w:val="00A97359"/>
    <w:rsid w:val="00AB25AB"/>
    <w:rsid w:val="00AD7AC0"/>
    <w:rsid w:val="00B04B4A"/>
    <w:rsid w:val="00B27BB5"/>
    <w:rsid w:val="00B54ED6"/>
    <w:rsid w:val="00B60947"/>
    <w:rsid w:val="00BD415F"/>
    <w:rsid w:val="00BD68FB"/>
    <w:rsid w:val="00BF64F2"/>
    <w:rsid w:val="00C24081"/>
    <w:rsid w:val="00C44B27"/>
    <w:rsid w:val="00C6186C"/>
    <w:rsid w:val="00C700AA"/>
    <w:rsid w:val="00C74C25"/>
    <w:rsid w:val="00C7720D"/>
    <w:rsid w:val="00C8374B"/>
    <w:rsid w:val="00C84994"/>
    <w:rsid w:val="00C858CD"/>
    <w:rsid w:val="00C9275E"/>
    <w:rsid w:val="00CB0251"/>
    <w:rsid w:val="00CB0F57"/>
    <w:rsid w:val="00CB3053"/>
    <w:rsid w:val="00CC7C66"/>
    <w:rsid w:val="00CD24C8"/>
    <w:rsid w:val="00CD424E"/>
    <w:rsid w:val="00CF38E1"/>
    <w:rsid w:val="00CF4717"/>
    <w:rsid w:val="00CF5129"/>
    <w:rsid w:val="00D57C3B"/>
    <w:rsid w:val="00D71DED"/>
    <w:rsid w:val="00D7778D"/>
    <w:rsid w:val="00D7781B"/>
    <w:rsid w:val="00DC4D4F"/>
    <w:rsid w:val="00DE1370"/>
    <w:rsid w:val="00DE25B0"/>
    <w:rsid w:val="00DF38A7"/>
    <w:rsid w:val="00E46DE5"/>
    <w:rsid w:val="00E62474"/>
    <w:rsid w:val="00E8648D"/>
    <w:rsid w:val="00E91879"/>
    <w:rsid w:val="00EC4530"/>
    <w:rsid w:val="00EF45D6"/>
    <w:rsid w:val="00F04B00"/>
    <w:rsid w:val="00F064B6"/>
    <w:rsid w:val="00F13F0A"/>
    <w:rsid w:val="00F40DF9"/>
    <w:rsid w:val="00F42384"/>
    <w:rsid w:val="00F52C66"/>
    <w:rsid w:val="00F57248"/>
    <w:rsid w:val="00F87465"/>
    <w:rsid w:val="00F9161C"/>
    <w:rsid w:val="00F95140"/>
    <w:rsid w:val="00F969C6"/>
    <w:rsid w:val="00FC117A"/>
    <w:rsid w:val="00FD35E9"/>
    <w:rsid w:val="00FE3722"/>
    <w:rsid w:val="00FE59B5"/>
    <w:rsid w:val="00FF08D5"/>
    <w:rsid w:val="00FF79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D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List Paragraph1,Colorful List - Accent 11"/>
    <w:basedOn w:val="Normal"/>
    <w:link w:val="ListParagraphChar"/>
    <w:uiPriority w:val="34"/>
    <w:qFormat/>
    <w:rsid w:val="005F7D78"/>
    <w:pPr>
      <w:ind w:left="720"/>
      <w:contextualSpacing/>
    </w:pPr>
  </w:style>
  <w:style w:type="character" w:customStyle="1" w:styleId="ListParagraphChar">
    <w:name w:val="List Paragraph Char"/>
    <w:aliases w:val="Footnote Char,List Paragraph1 Char,Colorful List - Accent 11 Char"/>
    <w:basedOn w:val="DefaultParagraphFont"/>
    <w:link w:val="ListParagraph"/>
    <w:uiPriority w:val="34"/>
    <w:locked/>
    <w:rsid w:val="00007534"/>
  </w:style>
  <w:style w:type="paragraph" w:styleId="NormalWeb">
    <w:name w:val="Normal (Web)"/>
    <w:basedOn w:val="Normal"/>
    <w:uiPriority w:val="99"/>
    <w:unhideWhenUsed/>
    <w:rsid w:val="001F36D1"/>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Texto nota pie Car"/>
    <w:basedOn w:val="Normal"/>
    <w:link w:val="FootnoteTextChar"/>
    <w:unhideWhenUsed/>
    <w:rsid w:val="006F3C2F"/>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6F3C2F"/>
    <w:rPr>
      <w:sz w:val="20"/>
      <w:szCs w:val="20"/>
    </w:rPr>
  </w:style>
  <w:style w:type="character" w:styleId="FootnoteReference">
    <w:name w:val="footnote reference"/>
    <w:basedOn w:val="DefaultParagraphFont"/>
    <w:uiPriority w:val="99"/>
    <w:semiHidden/>
    <w:unhideWhenUsed/>
    <w:rsid w:val="006F3C2F"/>
    <w:rPr>
      <w:vertAlign w:val="superscript"/>
    </w:rPr>
  </w:style>
  <w:style w:type="character" w:styleId="Hyperlink">
    <w:name w:val="Hyperlink"/>
    <w:basedOn w:val="DefaultParagraphFont"/>
    <w:uiPriority w:val="99"/>
    <w:unhideWhenUsed/>
    <w:rsid w:val="007336E2"/>
    <w:rPr>
      <w:color w:val="0000FF"/>
      <w:u w:val="single"/>
    </w:rPr>
  </w:style>
  <w:style w:type="paragraph" w:styleId="Header">
    <w:name w:val="header"/>
    <w:basedOn w:val="Normal"/>
    <w:link w:val="HeaderChar"/>
    <w:uiPriority w:val="99"/>
    <w:semiHidden/>
    <w:unhideWhenUsed/>
    <w:rsid w:val="00CD24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24C8"/>
  </w:style>
  <w:style w:type="paragraph" w:styleId="Footer">
    <w:name w:val="footer"/>
    <w:basedOn w:val="Normal"/>
    <w:link w:val="FooterChar"/>
    <w:uiPriority w:val="99"/>
    <w:semiHidden/>
    <w:unhideWhenUsed/>
    <w:rsid w:val="00CD24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24C8"/>
  </w:style>
  <w:style w:type="paragraph" w:styleId="EndnoteText">
    <w:name w:val="endnote text"/>
    <w:basedOn w:val="Normal"/>
    <w:link w:val="EndnoteTextChar"/>
    <w:uiPriority w:val="99"/>
    <w:semiHidden/>
    <w:unhideWhenUsed/>
    <w:rsid w:val="001862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862E8"/>
    <w:rPr>
      <w:sz w:val="20"/>
      <w:szCs w:val="20"/>
    </w:rPr>
  </w:style>
  <w:style w:type="character" w:styleId="EndnoteReference">
    <w:name w:val="endnote reference"/>
    <w:basedOn w:val="DefaultParagraphFont"/>
    <w:uiPriority w:val="99"/>
    <w:unhideWhenUsed/>
    <w:rsid w:val="001862E8"/>
    <w:rPr>
      <w:rFonts w:ascii="Verdana" w:hAnsi="Verdana"/>
      <w:b/>
      <w:sz w:val="20"/>
      <w:szCs w:val="20"/>
      <w:vertAlign w:val="superscript"/>
      <w:lang w:val="es-HN"/>
    </w:rPr>
  </w:style>
  <w:style w:type="paragraph" w:styleId="BalloonText">
    <w:name w:val="Balloon Text"/>
    <w:basedOn w:val="Normal"/>
    <w:link w:val="BalloonTextChar"/>
    <w:uiPriority w:val="99"/>
    <w:semiHidden/>
    <w:unhideWhenUsed/>
    <w:rsid w:val="008A6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CB7"/>
    <w:rPr>
      <w:rFonts w:ascii="Tahoma" w:hAnsi="Tahoma" w:cs="Tahoma"/>
      <w:sz w:val="16"/>
      <w:szCs w:val="16"/>
    </w:rPr>
  </w:style>
  <w:style w:type="character" w:styleId="CommentReference">
    <w:name w:val="annotation reference"/>
    <w:basedOn w:val="DefaultParagraphFont"/>
    <w:uiPriority w:val="99"/>
    <w:semiHidden/>
    <w:unhideWhenUsed/>
    <w:rsid w:val="00BD68FB"/>
    <w:rPr>
      <w:sz w:val="16"/>
      <w:szCs w:val="16"/>
    </w:rPr>
  </w:style>
  <w:style w:type="paragraph" w:styleId="CommentText">
    <w:name w:val="annotation text"/>
    <w:basedOn w:val="Normal"/>
    <w:link w:val="CommentTextChar"/>
    <w:uiPriority w:val="99"/>
    <w:semiHidden/>
    <w:unhideWhenUsed/>
    <w:rsid w:val="00BD68FB"/>
    <w:pPr>
      <w:spacing w:line="240" w:lineRule="auto"/>
    </w:pPr>
    <w:rPr>
      <w:sz w:val="20"/>
      <w:szCs w:val="20"/>
    </w:rPr>
  </w:style>
  <w:style w:type="character" w:customStyle="1" w:styleId="CommentTextChar">
    <w:name w:val="Comment Text Char"/>
    <w:basedOn w:val="DefaultParagraphFont"/>
    <w:link w:val="CommentText"/>
    <w:uiPriority w:val="99"/>
    <w:semiHidden/>
    <w:rsid w:val="00BD68FB"/>
    <w:rPr>
      <w:sz w:val="20"/>
      <w:szCs w:val="20"/>
    </w:rPr>
  </w:style>
  <w:style w:type="paragraph" w:styleId="CommentSubject">
    <w:name w:val="annotation subject"/>
    <w:basedOn w:val="CommentText"/>
    <w:next w:val="CommentText"/>
    <w:link w:val="CommentSubjectChar"/>
    <w:uiPriority w:val="99"/>
    <w:semiHidden/>
    <w:unhideWhenUsed/>
    <w:rsid w:val="00BD68FB"/>
    <w:rPr>
      <w:b/>
      <w:bCs/>
    </w:rPr>
  </w:style>
  <w:style w:type="character" w:customStyle="1" w:styleId="CommentSubjectChar">
    <w:name w:val="Comment Subject Char"/>
    <w:basedOn w:val="CommentTextChar"/>
    <w:link w:val="CommentSubject"/>
    <w:uiPriority w:val="99"/>
    <w:semiHidden/>
    <w:rsid w:val="00BD68FB"/>
    <w:rPr>
      <w:b/>
      <w:bCs/>
      <w:sz w:val="20"/>
      <w:szCs w:val="20"/>
    </w:rPr>
  </w:style>
  <w:style w:type="paragraph" w:customStyle="1" w:styleId="Default">
    <w:name w:val="Default"/>
    <w:rsid w:val="00CD424E"/>
    <w:pPr>
      <w:autoSpaceDE w:val="0"/>
      <w:autoSpaceDN w:val="0"/>
      <w:adjustRightInd w:val="0"/>
      <w:spacing w:after="0" w:line="240" w:lineRule="auto"/>
    </w:pPr>
    <w:rPr>
      <w:rFonts w:ascii="Univers" w:hAnsi="Univers" w:cs="Univers"/>
      <w:color w:val="000000"/>
      <w:sz w:val="24"/>
      <w:szCs w:val="24"/>
      <w:lang w:val="es-CR"/>
    </w:rPr>
  </w:style>
  <w:style w:type="character" w:styleId="FollowedHyperlink">
    <w:name w:val="FollowedHyperlink"/>
    <w:basedOn w:val="DefaultParagraphFont"/>
    <w:uiPriority w:val="99"/>
    <w:semiHidden/>
    <w:unhideWhenUsed/>
    <w:rsid w:val="00CD42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620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asuntos/mendoza_01_08_12.pdf" TargetMode="External"/><Relationship Id="rId2" Type="http://schemas.openxmlformats.org/officeDocument/2006/relationships/hyperlink" Target="http://www.oas.org/es/cidh/decisiones/corte/12.651ES.pdf" TargetMode="External"/><Relationship Id="rId1" Type="http://schemas.openxmlformats.org/officeDocument/2006/relationships/hyperlink" Target="http://www.oas.org/es/cidh/decisiones/corte/12.651ES.pdf" TargetMode="External"/><Relationship Id="rId6" Type="http://schemas.openxmlformats.org/officeDocument/2006/relationships/hyperlink" Target="http://vimeo.com/48744848" TargetMode="External"/><Relationship Id="rId5" Type="http://schemas.openxmlformats.org/officeDocument/2006/relationships/hyperlink" Target="http://vimeo.com/48744734" TargetMode="External"/><Relationship Id="rId4" Type="http://schemas.openxmlformats.org/officeDocument/2006/relationships/hyperlink" Target="http://vimeo.com/48536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5DE0E31EAF2439D287EEF21B08142" ma:contentTypeVersion="0" ma:contentTypeDescription="Create a new document." ma:contentTypeScope="" ma:versionID="01638f88f95378e84390226ee62acf8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FF9B0-4947-466F-9EED-C7D0EFFCB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D04A79F-BF9A-49E5-88D5-8F9ABDEEEDB4}">
  <ds:schemaRefs>
    <ds:schemaRef ds:uri="http://schemas.microsoft.com/sharepoint/v3/contenttype/forms"/>
  </ds:schemaRefs>
</ds:datastoreItem>
</file>

<file path=customXml/itemProps3.xml><?xml version="1.0" encoding="utf-8"?>
<ds:datastoreItem xmlns:ds="http://schemas.openxmlformats.org/officeDocument/2006/customXml" ds:itemID="{5A6FD3CA-0E7B-4362-9825-5D50CF843B40}">
  <ds:schemaRefs>
    <ds:schemaRef ds:uri="http://schemas.microsoft.com/office/2006/metadata/properties"/>
  </ds:schemaRefs>
</ds:datastoreItem>
</file>

<file path=customXml/itemProps4.xml><?xml version="1.0" encoding="utf-8"?>
<ds:datastoreItem xmlns:ds="http://schemas.openxmlformats.org/officeDocument/2006/customXml" ds:itemID="{4A6F779F-E3FB-43E2-8E41-D9182F3FD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1710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ResoluciónMendozaSRC</vt:lpstr>
    </vt:vector>
  </TitlesOfParts>
  <Company>Hewlett-Packard Company</Company>
  <LinksUpToDate>false</LinksUpToDate>
  <CharactersWithSpaces>11094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ResoluciónMendozaSRC</dc:title>
  <dc:creator>Julliana Saborio</dc:creator>
  <cp:lastModifiedBy>Jairo Guadamuz</cp:lastModifiedBy>
  <cp:revision>3</cp:revision>
  <cp:lastPrinted>2013-07-04T18:28:00Z</cp:lastPrinted>
  <dcterms:created xsi:type="dcterms:W3CDTF">2013-07-05T22:43:00Z</dcterms:created>
  <dcterms:modified xsi:type="dcterms:W3CDTF">2013-07-08T16:07:00Z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0x0101009C65DE0E31EAF2439D287EEF21B08142</vt:lpwstr>
  </property>
</Properties>
</file>